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3889" w14:textId="77777777" w:rsidR="009E4672" w:rsidRDefault="001A04DB">
      <w:pPr>
        <w:jc w:val="center"/>
        <w:rPr>
          <w:b/>
        </w:rPr>
      </w:pPr>
      <w:r>
        <w:rPr>
          <w:b/>
        </w:rPr>
        <w:t xml:space="preserve">Going Beyond the Summative: </w:t>
      </w:r>
    </w:p>
    <w:p w14:paraId="4D579A2D" w14:textId="71DC3B48" w:rsidR="00C4033A" w:rsidRDefault="001A04DB">
      <w:pPr>
        <w:jc w:val="center"/>
        <w:rPr>
          <w:b/>
        </w:rPr>
      </w:pPr>
      <w:r>
        <w:rPr>
          <w:b/>
        </w:rPr>
        <w:t xml:space="preserve">Thinking Through Requests for Proposals </w:t>
      </w:r>
      <w:r w:rsidR="009E4672">
        <w:rPr>
          <w:b/>
        </w:rPr>
        <w:t>T</w:t>
      </w:r>
      <w:r>
        <w:rPr>
          <w:b/>
        </w:rPr>
        <w:t>hat Ask for More</w:t>
      </w:r>
    </w:p>
    <w:p w14:paraId="34C2889D" w14:textId="77777777" w:rsidR="00C4033A" w:rsidRDefault="00C4033A">
      <w:pPr>
        <w:jc w:val="center"/>
        <w:rPr>
          <w:b/>
        </w:rPr>
      </w:pPr>
    </w:p>
    <w:p w14:paraId="25FFC7D4" w14:textId="79AC135F" w:rsidR="00C4033A" w:rsidRDefault="00400811">
      <w:pPr>
        <w:jc w:val="center"/>
        <w:rPr>
          <w:b/>
        </w:rPr>
      </w:pPr>
      <w:r>
        <w:rPr>
          <w:b/>
        </w:rPr>
        <w:t>May</w:t>
      </w:r>
      <w:r w:rsidR="001A04DB">
        <w:rPr>
          <w:b/>
        </w:rPr>
        <w:t xml:space="preserve"> 202</w:t>
      </w:r>
      <w:r>
        <w:rPr>
          <w:b/>
        </w:rPr>
        <w:t>4</w:t>
      </w:r>
    </w:p>
    <w:p w14:paraId="60A1CCDB" w14:textId="77777777" w:rsidR="00C4033A" w:rsidRDefault="00C4033A"/>
    <w:p w14:paraId="3A3CDA48" w14:textId="77777777" w:rsidR="00C4033A" w:rsidRDefault="001A04DB">
      <w:pPr>
        <w:rPr>
          <w:b/>
        </w:rPr>
      </w:pPr>
      <w:r>
        <w:rPr>
          <w:b/>
        </w:rPr>
        <w:t xml:space="preserve">Introduction </w:t>
      </w:r>
    </w:p>
    <w:p w14:paraId="4B8EC523" w14:textId="77777777" w:rsidR="00C4033A" w:rsidRDefault="00C4033A"/>
    <w:p w14:paraId="3F2DA668" w14:textId="69AFC0EA" w:rsidR="00C4033A" w:rsidRDefault="001A04DB">
      <w:r>
        <w:t xml:space="preserve">“If you don't know where you want to go, then it doesn't matter which path you take.” In the world of assessment, </w:t>
      </w:r>
      <w:r w:rsidR="004B2F17">
        <w:t>the desired path for</w:t>
      </w:r>
      <w:r>
        <w:t xml:space="preserve"> a program </w:t>
      </w:r>
      <w:r w:rsidR="00977C28">
        <w:t>often coalesces</w:t>
      </w:r>
      <w:r w:rsidR="00BD500A">
        <w:t xml:space="preserve"> </w:t>
      </w:r>
      <w:r w:rsidR="00F019D0">
        <w:t>during the process of developing a</w:t>
      </w:r>
      <w:r w:rsidR="00977C28">
        <w:t xml:space="preserve"> </w:t>
      </w:r>
      <w:r>
        <w:t>Request for Proposal</w:t>
      </w:r>
      <w:r w:rsidR="00D55E11">
        <w:t>s</w:t>
      </w:r>
      <w:r>
        <w:t xml:space="preserve"> (RFP). And increasingly, these RFPs are asking for </w:t>
      </w:r>
      <w:r>
        <w:rPr>
          <w:i/>
        </w:rPr>
        <w:t>more</w:t>
      </w:r>
      <w:r>
        <w:t>. Interim assessments, item banks, literacy screeners</w:t>
      </w:r>
      <w:r w:rsidR="00D55E11">
        <w:t>,</w:t>
      </w:r>
      <w:r>
        <w:t xml:space="preserve"> and state-funded assessment literacy training are becoming </w:t>
      </w:r>
      <w:r w:rsidR="00F019D0">
        <w:t>common</w:t>
      </w:r>
      <w:r>
        <w:t xml:space="preserve"> parts of summative assessment RFPs. However, without explaining each of these components and why they matter, the responses to an RFP could represent a number of pathways targeting different destinations, including those that do not meet the specific needs of the state. </w:t>
      </w:r>
    </w:p>
    <w:p w14:paraId="33BD7778" w14:textId="77777777" w:rsidR="007842BE" w:rsidRDefault="007842BE"/>
    <w:p w14:paraId="687E9709" w14:textId="2529392F" w:rsidR="00AB582B" w:rsidRDefault="00F45C25">
      <w:r>
        <w:t xml:space="preserve">The Center’s </w:t>
      </w:r>
      <w:hyperlink r:id="rId11">
        <w:r w:rsidR="00EA478D">
          <w:rPr>
            <w:color w:val="1155CC"/>
            <w:u w:val="single"/>
          </w:rPr>
          <w:t>RFP Toolkit</w:t>
        </w:r>
      </w:hyperlink>
      <w:r w:rsidR="00EA478D">
        <w:rPr>
          <w:color w:val="1155CC"/>
          <w:u w:val="single"/>
        </w:rPr>
        <w:t xml:space="preserve"> </w:t>
      </w:r>
      <w:r>
        <w:t xml:space="preserve">was developed to </w:t>
      </w:r>
      <w:r w:rsidR="00AE750C">
        <w:t xml:space="preserve">help state leaders develop a comprehensive RFP for a state summative assessment </w:t>
      </w:r>
      <w:r w:rsidR="008A5E92">
        <w:t xml:space="preserve">system. </w:t>
      </w:r>
      <w:r w:rsidR="00EA478D">
        <w:t>The toolki</w:t>
      </w:r>
      <w:r w:rsidR="004A6035">
        <w:t>t includes</w:t>
      </w:r>
      <w:r w:rsidR="00B86A58">
        <w:t xml:space="preserve"> a </w:t>
      </w:r>
      <w:r w:rsidR="00F35C17">
        <w:t>m</w:t>
      </w:r>
      <w:r w:rsidR="00B86A58">
        <w:t xml:space="preserve">odel RFP </w:t>
      </w:r>
      <w:r w:rsidR="00F35C17">
        <w:t>o</w:t>
      </w:r>
      <w:r w:rsidR="00B86A58">
        <w:t xml:space="preserve">utline, that </w:t>
      </w:r>
      <w:r w:rsidR="00741DC9">
        <w:t>describes</w:t>
      </w:r>
      <w:r w:rsidR="00862B27">
        <w:t xml:space="preserve"> the full range of information that should be included in an RFP to</w:t>
      </w:r>
      <w:r w:rsidR="00741DC9">
        <w:t xml:space="preserve"> help</w:t>
      </w:r>
      <w:r w:rsidR="00862B27">
        <w:t xml:space="preserve"> </w:t>
      </w:r>
      <w:r w:rsidR="00032609">
        <w:t>“</w:t>
      </w:r>
      <w:r w:rsidR="00032609" w:rsidRPr="005674E4">
        <w:t>protect and balance a state’s interests in the areas of quality of deliverables, meeting timelines, reducing strain on staff, and minimizing cost</w:t>
      </w:r>
      <w:r w:rsidR="00F35C17">
        <w:t>,</w:t>
      </w:r>
      <w:r w:rsidR="00032609" w:rsidRPr="005674E4">
        <w:t xml:space="preserve">” and ensure the bidding process is fair. </w:t>
      </w:r>
      <w:r w:rsidR="00EC5C95">
        <w:t xml:space="preserve">The purpose of this </w:t>
      </w:r>
      <w:r w:rsidR="00224F1A">
        <w:t>document</w:t>
      </w:r>
      <w:r w:rsidR="00EC5C95">
        <w:t xml:space="preserve"> is to help </w:t>
      </w:r>
      <w:r w:rsidR="00F35C17">
        <w:t>state education agencies (</w:t>
      </w:r>
      <w:r w:rsidR="00EC5C95">
        <w:t>SEAs</w:t>
      </w:r>
      <w:r w:rsidR="00F35C17">
        <w:t>)</w:t>
      </w:r>
      <w:r w:rsidR="00EC5C95">
        <w:t xml:space="preserve"> </w:t>
      </w:r>
      <w:r w:rsidR="00941AB6">
        <w:t>understand how to develop a good RFP</w:t>
      </w:r>
      <w:r w:rsidR="00EC5C95">
        <w:t xml:space="preserve"> in cases where the requested </w:t>
      </w:r>
      <w:r w:rsidR="001A04DB">
        <w:t>components</w:t>
      </w:r>
      <w:r w:rsidR="00EC5C95">
        <w:t xml:space="preserve"> go beyond or differ from</w:t>
      </w:r>
      <w:r w:rsidR="001A04DB">
        <w:t xml:space="preserve"> </w:t>
      </w:r>
      <w:r w:rsidR="00EC5C95">
        <w:t xml:space="preserve">those associated with a traditional once-per-year </w:t>
      </w:r>
      <w:r w:rsidR="001A04DB">
        <w:t>state summative</w:t>
      </w:r>
      <w:r w:rsidR="00EC5C95">
        <w:t xml:space="preserve"> assessment</w:t>
      </w:r>
      <w:r w:rsidR="00224F1A">
        <w:t xml:space="preserve"> system</w:t>
      </w:r>
      <w:r w:rsidR="001A04DB">
        <w:t xml:space="preserve">. </w:t>
      </w:r>
    </w:p>
    <w:p w14:paraId="0435A309" w14:textId="77777777" w:rsidR="00AB582B" w:rsidRDefault="00AB582B"/>
    <w:p w14:paraId="5C368F27" w14:textId="71A5FD6F" w:rsidR="00483C61" w:rsidRDefault="00F35C17" w:rsidP="00483C61">
      <w:r>
        <w:t>W</w:t>
      </w:r>
      <w:r w:rsidR="00EC5C95">
        <w:t xml:space="preserve">hat is a good RFP? </w:t>
      </w:r>
      <w:r w:rsidR="001A04DB">
        <w:t xml:space="preserve">A good RFP is one that provides bidders with </w:t>
      </w:r>
      <w:r w:rsidR="001A04DB" w:rsidRPr="005674E4">
        <w:rPr>
          <w:i/>
          <w:iCs/>
        </w:rPr>
        <w:t>all</w:t>
      </w:r>
      <w:r w:rsidR="001A04DB">
        <w:t xml:space="preserve"> the information needed to craft a </w:t>
      </w:r>
      <w:r w:rsidR="00EC5C95">
        <w:t>high-quality</w:t>
      </w:r>
      <w:r w:rsidR="001A04DB">
        <w:t xml:space="preserve"> response that reflects the state’s goals and priorities. </w:t>
      </w:r>
      <w:r w:rsidR="007606C9">
        <w:t>An</w:t>
      </w:r>
      <w:r w:rsidR="00D55E11">
        <w:t xml:space="preserve"> </w:t>
      </w:r>
      <w:r w:rsidR="00483C61">
        <w:t xml:space="preserve">RFP should detail (1) </w:t>
      </w:r>
      <w:r w:rsidR="00483C61">
        <w:rPr>
          <w:b/>
        </w:rPr>
        <w:t>what</w:t>
      </w:r>
      <w:r w:rsidR="00483C61">
        <w:t xml:space="preserve"> assessment components are being requested, (2) </w:t>
      </w:r>
      <w:r w:rsidR="00483C61">
        <w:rPr>
          <w:b/>
        </w:rPr>
        <w:t>how</w:t>
      </w:r>
      <w:r w:rsidR="00483C61">
        <w:t xml:space="preserve"> </w:t>
      </w:r>
      <w:r>
        <w:t xml:space="preserve">a </w:t>
      </w:r>
      <w:r w:rsidR="00511C66">
        <w:t>state</w:t>
      </w:r>
      <w:r>
        <w:t xml:space="preserve"> plans to use </w:t>
      </w:r>
      <w:r w:rsidR="00483C61">
        <w:t>each of these components and the</w:t>
      </w:r>
      <w:r w:rsidR="00483C61">
        <w:rPr>
          <w:b/>
        </w:rPr>
        <w:t xml:space="preserve"> </w:t>
      </w:r>
      <w:r w:rsidR="00483C61">
        <w:t>goals they are meant to support</w:t>
      </w:r>
      <w:r w:rsidR="00D55E11">
        <w:t>,</w:t>
      </w:r>
      <w:r w:rsidR="00483C61">
        <w:t xml:space="preserve"> (3) </w:t>
      </w:r>
      <w:r w:rsidR="00483C61">
        <w:rPr>
          <w:b/>
        </w:rPr>
        <w:t xml:space="preserve">what </w:t>
      </w:r>
      <w:r w:rsidR="00483C61">
        <w:t xml:space="preserve">design features are expected/required to achieve these goals and (4) </w:t>
      </w:r>
      <w:r w:rsidR="00483C61">
        <w:rPr>
          <w:b/>
        </w:rPr>
        <w:t>where</w:t>
      </w:r>
      <w:r w:rsidR="00483C61">
        <w:t xml:space="preserve"> the responsibilities of the vendor start and end. This information should be explained in clear and concise language within the RFP.  </w:t>
      </w:r>
    </w:p>
    <w:p w14:paraId="184E79B7" w14:textId="77777777" w:rsidR="00483C61" w:rsidRDefault="00483C61" w:rsidP="00DF0770"/>
    <w:p w14:paraId="729BF112" w14:textId="25876434" w:rsidR="00DF0770" w:rsidRDefault="001A04DB" w:rsidP="00DF0770">
      <w:r>
        <w:t>This is easier said than done</w:t>
      </w:r>
      <w:r w:rsidR="00F35C17">
        <w:t xml:space="preserve">. It </w:t>
      </w:r>
      <w:r>
        <w:t xml:space="preserve">requires substantial lead time (at </w:t>
      </w:r>
      <w:r w:rsidRPr="005674E4">
        <w:rPr>
          <w:i/>
          <w:iCs/>
        </w:rPr>
        <w:t>least</w:t>
      </w:r>
      <w:r>
        <w:t xml:space="preserve"> </w:t>
      </w:r>
      <w:r w:rsidR="00FD520A">
        <w:t>one year</w:t>
      </w:r>
      <w:r>
        <w:t xml:space="preserve">) for states to think deeply about </w:t>
      </w:r>
      <w:r w:rsidR="00EC5C95">
        <w:t>the assessment resources necessary to</w:t>
      </w:r>
      <w:r>
        <w:t xml:space="preserve"> support their overall vision for teaching and learning</w:t>
      </w:r>
      <w:r w:rsidR="000320DF">
        <w:t xml:space="preserve"> and</w:t>
      </w:r>
      <w:r w:rsidR="00D55E11">
        <w:t>,</w:t>
      </w:r>
      <w:r w:rsidR="00EC5C95">
        <w:t xml:space="preserve"> subsequently</w:t>
      </w:r>
      <w:r w:rsidR="00D55E11">
        <w:t>,</w:t>
      </w:r>
      <w:r>
        <w:t xml:space="preserve"> what should be included in their RFP. </w:t>
      </w:r>
      <w:r w:rsidR="00DF0770">
        <w:t xml:space="preserve">In addition to the </w:t>
      </w:r>
      <w:bookmarkStart w:id="0" w:name="_Hlk158014675"/>
      <w:r w:rsidR="00DF0770">
        <w:fldChar w:fldCharType="begin"/>
      </w:r>
      <w:r w:rsidR="00DF0770">
        <w:instrText>HYPERLINK "https://www.nciea.org/library/requests-for-proposals-toolkit/" \h</w:instrText>
      </w:r>
      <w:r w:rsidR="00DF0770">
        <w:fldChar w:fldCharType="separate"/>
      </w:r>
      <w:r w:rsidR="00DF0770">
        <w:rPr>
          <w:color w:val="1155CC"/>
          <w:u w:val="single"/>
        </w:rPr>
        <w:t>RFP Toolkit</w:t>
      </w:r>
      <w:r w:rsidR="00DF0770">
        <w:rPr>
          <w:color w:val="1155CC"/>
          <w:u w:val="single"/>
        </w:rPr>
        <w:fldChar w:fldCharType="end"/>
      </w:r>
      <w:r w:rsidR="00DF0770" w:rsidRPr="00A44F5B">
        <w:rPr>
          <w:color w:val="1155CC"/>
        </w:rPr>
        <w:t xml:space="preserve">, </w:t>
      </w:r>
      <w:bookmarkEnd w:id="0"/>
      <w:r w:rsidR="00A44F5B">
        <w:rPr>
          <w:color w:val="1155CC"/>
        </w:rPr>
        <w:t>r</w:t>
      </w:r>
      <w:r w:rsidR="00DF0770" w:rsidRPr="00A44F5B">
        <w:t>esources</w:t>
      </w:r>
      <w:r w:rsidR="00DF0770">
        <w:t xml:space="preserve"> like the Center’s </w:t>
      </w:r>
      <w:hyperlink r:id="rId12">
        <w:r w:rsidR="00DF0770">
          <w:rPr>
            <w:color w:val="1155CC"/>
            <w:u w:val="single"/>
          </w:rPr>
          <w:t>Interim Assessment Toolkit</w:t>
        </w:r>
      </w:hyperlink>
      <w:r w:rsidR="00DF0770">
        <w:t xml:space="preserve"> and the </w:t>
      </w:r>
      <w:hyperlink r:id="rId13" w:history="1">
        <w:r w:rsidR="00DF0770" w:rsidRPr="005556B8">
          <w:rPr>
            <w:rStyle w:val="Hyperlink"/>
          </w:rPr>
          <w:t>District Assessment Procurement Protocol</w:t>
        </w:r>
      </w:hyperlink>
      <w:r w:rsidR="00DF0770">
        <w:t xml:space="preserve"> were developed to help </w:t>
      </w:r>
      <w:r w:rsidR="00F35C17">
        <w:t>state and local education agencies</w:t>
      </w:r>
      <w:r w:rsidR="00DF0770">
        <w:t xml:space="preserve"> engage in these types of activities.</w:t>
      </w:r>
    </w:p>
    <w:p w14:paraId="44CF1047" w14:textId="77777777" w:rsidR="00483C61" w:rsidRDefault="00483C61" w:rsidP="00DF0770"/>
    <w:p w14:paraId="6A07C5A1" w14:textId="6D20D8CF" w:rsidR="00943C1C" w:rsidRDefault="005674E4" w:rsidP="00057B12">
      <w:r>
        <w:t>Engaging</w:t>
      </w:r>
      <w:r w:rsidR="00DF0770">
        <w:t xml:space="preserve"> those </w:t>
      </w:r>
      <w:r w:rsidR="000E6AC7">
        <w:t>who will use or be impacted by the tools under consideration</w:t>
      </w:r>
      <w:r w:rsidR="00DF0770">
        <w:t xml:space="preserve"> is</w:t>
      </w:r>
      <w:r w:rsidR="00AC21C8">
        <w:t xml:space="preserve"> </w:t>
      </w:r>
      <w:r w:rsidR="00DF0770">
        <w:t>a key component of this process</w:t>
      </w:r>
      <w:r w:rsidR="000E6AC7">
        <w:t xml:space="preserve">. </w:t>
      </w:r>
      <w:r>
        <w:t>The ongoing collection of feedback serves to</w:t>
      </w:r>
      <w:r w:rsidR="00DF0770">
        <w:t xml:space="preserve"> ensure the state’s vision for teaching and learning is </w:t>
      </w:r>
      <w:r w:rsidR="00483C61">
        <w:t xml:space="preserve">both </w:t>
      </w:r>
      <w:r w:rsidR="00DF0770">
        <w:t xml:space="preserve">shared by practitioners and operationalized in a way that reflects the needs of those it is intended to serve. This is especially </w:t>
      </w:r>
      <w:r w:rsidR="00483C61">
        <w:t xml:space="preserve">important </w:t>
      </w:r>
      <w:r w:rsidR="00DF0770">
        <w:t>when the state intends to reshape or greatly expand the state’s program.  Several states have convened assessment task forces or other advisory groups for this purpose (e</w:t>
      </w:r>
      <w:bookmarkStart w:id="1" w:name="_Hlk158014296"/>
      <w:r>
        <w:t xml:space="preserve">.g., </w:t>
      </w:r>
      <w:r w:rsidR="001360E9">
        <w:t>s</w:t>
      </w:r>
      <w:r w:rsidR="00AE5CE7">
        <w:t>ee Center</w:t>
      </w:r>
      <w:r w:rsidR="00F35C17">
        <w:t>-</w:t>
      </w:r>
      <w:r w:rsidR="00AE5CE7">
        <w:t xml:space="preserve">developed reports for </w:t>
      </w:r>
      <w:hyperlink r:id="rId14">
        <w:r w:rsidR="00DF0770">
          <w:rPr>
            <w:color w:val="1155CC"/>
            <w:u w:val="single"/>
          </w:rPr>
          <w:t>Wyoming</w:t>
        </w:r>
      </w:hyperlink>
      <w:r w:rsidR="00DF0770">
        <w:rPr>
          <w:color w:val="1155CC"/>
          <w:u w:val="single"/>
        </w:rPr>
        <w:t>,</w:t>
      </w:r>
      <w:r w:rsidR="00DF0770">
        <w:t xml:space="preserve"> </w:t>
      </w:r>
      <w:hyperlink r:id="rId15" w:history="1">
        <w:r w:rsidR="00DF0770" w:rsidRPr="0084403F">
          <w:rPr>
            <w:rStyle w:val="Hyperlink"/>
          </w:rPr>
          <w:t>New Mexico</w:t>
        </w:r>
      </w:hyperlink>
      <w:r w:rsidR="00DF0770">
        <w:t xml:space="preserve">, &amp; </w:t>
      </w:r>
      <w:hyperlink r:id="rId16" w:history="1">
        <w:r w:rsidR="00DF0770" w:rsidRPr="00E72178">
          <w:rPr>
            <w:rStyle w:val="Hyperlink"/>
          </w:rPr>
          <w:t>Utah</w:t>
        </w:r>
      </w:hyperlink>
      <w:bookmarkEnd w:id="1"/>
      <w:r w:rsidR="00A44F5B" w:rsidRPr="00A44F5B">
        <w:rPr>
          <w:rStyle w:val="Hyperlink"/>
          <w:u w:val="none"/>
        </w:rPr>
        <w:t xml:space="preserve">. </w:t>
      </w:r>
      <w:r w:rsidR="005070AF">
        <w:t xml:space="preserve">While these activities </w:t>
      </w:r>
      <w:r w:rsidR="00E528EC">
        <w:t>may</w:t>
      </w:r>
      <w:r w:rsidR="00C1710A">
        <w:t xml:space="preserve"> </w:t>
      </w:r>
      <w:r w:rsidR="00E528EC">
        <w:t>pu</w:t>
      </w:r>
      <w:r w:rsidR="0058509A">
        <w:t>sh</w:t>
      </w:r>
      <w:r w:rsidR="00FB17ED">
        <w:t xml:space="preserve"> the timeline for an RFP </w:t>
      </w:r>
      <w:r w:rsidR="00F35C17">
        <w:t>forward</w:t>
      </w:r>
      <w:r w:rsidR="00FB17ED">
        <w:t xml:space="preserve"> an additional year </w:t>
      </w:r>
      <w:r w:rsidR="001A103C">
        <w:t>or</w:t>
      </w:r>
      <w:r w:rsidR="00550579">
        <w:t xml:space="preserve"> </w:t>
      </w:r>
      <w:r w:rsidR="005070AF">
        <w:t xml:space="preserve">necessitate </w:t>
      </w:r>
      <w:r w:rsidR="001A103C">
        <w:t>an</w:t>
      </w:r>
      <w:r w:rsidR="00FB17ED">
        <w:t xml:space="preserve"> extension of the current program</w:t>
      </w:r>
      <w:r w:rsidR="00C1710A">
        <w:t xml:space="preserve">, </w:t>
      </w:r>
      <w:r w:rsidR="006E5395">
        <w:t xml:space="preserve">that is a small price to pay to ensure </w:t>
      </w:r>
      <w:r w:rsidR="00F35C17">
        <w:t xml:space="preserve">that </w:t>
      </w:r>
      <w:r w:rsidR="006E5395">
        <w:t xml:space="preserve">the resources developed </w:t>
      </w:r>
      <w:r w:rsidR="009C49A6">
        <w:t>ar</w:t>
      </w:r>
      <w:r w:rsidR="00445EFE">
        <w:t>e</w:t>
      </w:r>
      <w:r w:rsidR="009C49A6">
        <w:t xml:space="preserve"> </w:t>
      </w:r>
      <w:r w:rsidR="00445EFE">
        <w:t xml:space="preserve">necessary, appreciated, and </w:t>
      </w:r>
      <w:r w:rsidR="009C49A6">
        <w:t xml:space="preserve">used as intended. </w:t>
      </w:r>
    </w:p>
    <w:p w14:paraId="00CE2EBB" w14:textId="0818952D" w:rsidR="00941AB6" w:rsidRDefault="00941AB6"/>
    <w:p w14:paraId="46308821" w14:textId="0D16AD15" w:rsidR="00C4033A" w:rsidRDefault="001A04DB">
      <w:r>
        <w:t xml:space="preserve">States often use RFPs from previous years (or other state programs) as a starting point for their new RFP. While </w:t>
      </w:r>
      <w:r w:rsidR="005B3337">
        <w:t xml:space="preserve">this </w:t>
      </w:r>
      <w:r>
        <w:t xml:space="preserve">approach </w:t>
      </w:r>
      <w:r w:rsidR="005B3337">
        <w:t xml:space="preserve">can help </w:t>
      </w:r>
      <w:r>
        <w:t xml:space="preserve">ensure continuity, and clearly saves time, </w:t>
      </w:r>
      <w:r w:rsidR="005B3337">
        <w:t>it also runs</w:t>
      </w:r>
      <w:r>
        <w:t xml:space="preserve"> the risk of sending conflicting messages about the state’s priorities</w:t>
      </w:r>
      <w:r w:rsidR="005D59B5">
        <w:t>.</w:t>
      </w:r>
      <w:r w:rsidR="005D59B5" w:rsidRPr="005D59B5">
        <w:t xml:space="preserve"> </w:t>
      </w:r>
      <w:r w:rsidR="005D59B5">
        <w:t xml:space="preserve">In addition, it is often the case that states are putting out an RFP because design decisions reflected in the previous program were not providing the type or frequency of </w:t>
      </w:r>
      <w:r w:rsidR="005D59B5">
        <w:lastRenderedPageBreak/>
        <w:t xml:space="preserve">information desired. When you start with a legacy RFP it is easy to overlook desired aspects of a new program and to forget to remove details relevant only to the prior program. </w:t>
      </w:r>
      <w:r w:rsidR="005556B8">
        <w:t xml:space="preserve">One way to avoid this is </w:t>
      </w:r>
      <w:r>
        <w:t xml:space="preserve">by </w:t>
      </w:r>
      <w:r w:rsidR="00AC2684">
        <w:t>sketching out the</w:t>
      </w:r>
      <w:r w:rsidR="004B3FE6">
        <w:t xml:space="preserve"> desired</w:t>
      </w:r>
      <w:r w:rsidR="00AC2684">
        <w:t xml:space="preserve"> components of the</w:t>
      </w:r>
      <w:r>
        <w:t xml:space="preserve"> new program</w:t>
      </w:r>
      <w:r w:rsidR="003D49D2">
        <w:t xml:space="preserve"> prior to</w:t>
      </w:r>
      <w:r w:rsidR="00790144">
        <w:t xml:space="preserve"> referencing an old </w:t>
      </w:r>
      <w:r w:rsidR="008C21AE">
        <w:t xml:space="preserve">RFP. </w:t>
      </w:r>
      <w:r>
        <w:t xml:space="preserve">Developing a summary table, like that addressed in the next </w:t>
      </w:r>
      <w:r w:rsidR="00E42481">
        <w:t>section</w:t>
      </w:r>
      <w:r>
        <w:t>, can help with this process.</w:t>
      </w:r>
    </w:p>
    <w:p w14:paraId="7E6A709F" w14:textId="77777777" w:rsidR="00C4033A" w:rsidRDefault="00C4033A"/>
    <w:p w14:paraId="546F8948" w14:textId="39FAC536" w:rsidR="00C4033A" w:rsidRDefault="001A04DB">
      <w:pPr>
        <w:rPr>
          <w:b/>
        </w:rPr>
      </w:pPr>
      <w:r>
        <w:rPr>
          <w:b/>
        </w:rPr>
        <w:t xml:space="preserve">The Summary Table: Detailing </w:t>
      </w:r>
      <w:r w:rsidR="00F35C17">
        <w:rPr>
          <w:b/>
        </w:rPr>
        <w:t>t</w:t>
      </w:r>
      <w:r>
        <w:rPr>
          <w:b/>
        </w:rPr>
        <w:t>he Road Ahead</w:t>
      </w:r>
    </w:p>
    <w:p w14:paraId="55F2835E" w14:textId="77777777" w:rsidR="00C4033A" w:rsidRDefault="00C4033A"/>
    <w:p w14:paraId="53A6A2C9" w14:textId="2C7CB1D6" w:rsidR="00C4033A" w:rsidRDefault="001A04DB">
      <w:r>
        <w:t xml:space="preserve">A summary table like the one below provides bidders with a snapshot that clarifies both the scope of the RFP and the state’s vision for each component. The table includes each component the vendor is expected to address, a summary of its purpose, and a brief description of the intended design or functionality. </w:t>
      </w:r>
      <w:r w:rsidR="00F35C17">
        <w:t>(</w:t>
      </w:r>
      <w:r>
        <w:t>A more expansive version of this table, although not specifically designed with non-summative components in mind, can be found within Table II.3.4</w:t>
      </w:r>
      <w:r w:rsidR="00F35C17">
        <w:t>,</w:t>
      </w:r>
      <w:r>
        <w:t xml:space="preserve"> Components of the State Assessment System</w:t>
      </w:r>
      <w:r w:rsidR="00F35C17">
        <w:t>,</w:t>
      </w:r>
      <w:r>
        <w:t xml:space="preserve"> on p. 4 of </w:t>
      </w:r>
      <w:r w:rsidRPr="004851E8">
        <w:t>the</w:t>
      </w:r>
      <w:r w:rsidR="004851E8" w:rsidRPr="004851E8">
        <w:t xml:space="preserve"> RFP Outline in the</w:t>
      </w:r>
      <w:r w:rsidRPr="004851E8">
        <w:t xml:space="preserve"> </w:t>
      </w:r>
      <w:hyperlink r:id="rId17">
        <w:r>
          <w:rPr>
            <w:color w:val="1155CC"/>
            <w:u w:val="single"/>
          </w:rPr>
          <w:t>Center’s RFP Toolkit</w:t>
        </w:r>
      </w:hyperlink>
      <w:r>
        <w:t>. Th</w:t>
      </w:r>
      <w:r w:rsidR="00F35C17">
        <w:t>e</w:t>
      </w:r>
      <w:r>
        <w:t xml:space="preserve"> expanded table details not only the components within scope, but all components of the state’s assessment program.</w:t>
      </w:r>
      <w:r w:rsidR="00F35C17">
        <w:t>)</w:t>
      </w:r>
      <w:r>
        <w:t xml:space="preserve">      </w:t>
      </w:r>
    </w:p>
    <w:p w14:paraId="3ABFD99A" w14:textId="77777777" w:rsidR="00C4033A" w:rsidRDefault="00C4033A"/>
    <w:tbl>
      <w:tblPr>
        <w:tblStyle w:val="a"/>
        <w:tblW w:w="9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5"/>
        <w:gridCol w:w="3549"/>
        <w:gridCol w:w="4826"/>
      </w:tblGrid>
      <w:tr w:rsidR="00C4033A" w14:paraId="02D48F77" w14:textId="77777777">
        <w:tc>
          <w:tcPr>
            <w:tcW w:w="1584" w:type="dxa"/>
            <w:shd w:val="clear" w:color="auto" w:fill="EFEFEF"/>
            <w:tcMar>
              <w:top w:w="100" w:type="dxa"/>
              <w:left w:w="100" w:type="dxa"/>
              <w:bottom w:w="100" w:type="dxa"/>
              <w:right w:w="100" w:type="dxa"/>
            </w:tcMar>
          </w:tcPr>
          <w:p w14:paraId="6D0BC7F4" w14:textId="77777777" w:rsidR="00C4033A" w:rsidRDefault="001A04DB">
            <w:pPr>
              <w:widowControl w:val="0"/>
              <w:pBdr>
                <w:top w:val="nil"/>
                <w:left w:val="nil"/>
                <w:bottom w:val="nil"/>
                <w:right w:val="nil"/>
                <w:between w:val="nil"/>
              </w:pBdr>
              <w:spacing w:line="240" w:lineRule="auto"/>
              <w:rPr>
                <w:b/>
              </w:rPr>
            </w:pPr>
            <w:r>
              <w:rPr>
                <w:b/>
              </w:rPr>
              <w:t xml:space="preserve">Component </w:t>
            </w:r>
          </w:p>
        </w:tc>
        <w:tc>
          <w:tcPr>
            <w:tcW w:w="3549" w:type="dxa"/>
            <w:shd w:val="clear" w:color="auto" w:fill="EFEFEF"/>
            <w:tcMar>
              <w:top w:w="100" w:type="dxa"/>
              <w:left w:w="100" w:type="dxa"/>
              <w:bottom w:w="100" w:type="dxa"/>
              <w:right w:w="100" w:type="dxa"/>
            </w:tcMar>
          </w:tcPr>
          <w:p w14:paraId="7802C1C4" w14:textId="77777777" w:rsidR="00C4033A" w:rsidRDefault="001A04DB">
            <w:pPr>
              <w:widowControl w:val="0"/>
              <w:pBdr>
                <w:top w:val="nil"/>
                <w:left w:val="nil"/>
                <w:bottom w:val="nil"/>
                <w:right w:val="nil"/>
                <w:between w:val="nil"/>
              </w:pBdr>
              <w:spacing w:line="240" w:lineRule="auto"/>
              <w:rPr>
                <w:b/>
              </w:rPr>
            </w:pPr>
            <w:r>
              <w:rPr>
                <w:b/>
              </w:rPr>
              <w:t>Purpose</w:t>
            </w:r>
          </w:p>
        </w:tc>
        <w:tc>
          <w:tcPr>
            <w:tcW w:w="4826" w:type="dxa"/>
            <w:shd w:val="clear" w:color="auto" w:fill="EFEFEF"/>
            <w:tcMar>
              <w:top w:w="100" w:type="dxa"/>
              <w:left w:w="100" w:type="dxa"/>
              <w:bottom w:w="100" w:type="dxa"/>
              <w:right w:w="100" w:type="dxa"/>
            </w:tcMar>
          </w:tcPr>
          <w:p w14:paraId="1CD06C39" w14:textId="77777777" w:rsidR="00C4033A" w:rsidRDefault="001A04DB">
            <w:pPr>
              <w:widowControl w:val="0"/>
              <w:pBdr>
                <w:top w:val="nil"/>
                <w:left w:val="nil"/>
                <w:bottom w:val="nil"/>
                <w:right w:val="nil"/>
                <w:between w:val="nil"/>
              </w:pBdr>
              <w:spacing w:line="240" w:lineRule="auto"/>
              <w:rPr>
                <w:b/>
              </w:rPr>
            </w:pPr>
            <w:r>
              <w:rPr>
                <w:b/>
              </w:rPr>
              <w:t>Description and Design Features</w:t>
            </w:r>
          </w:p>
        </w:tc>
      </w:tr>
      <w:tr w:rsidR="00C4033A" w14:paraId="12AEDA86" w14:textId="77777777">
        <w:tc>
          <w:tcPr>
            <w:tcW w:w="1584" w:type="dxa"/>
            <w:shd w:val="clear" w:color="auto" w:fill="auto"/>
            <w:tcMar>
              <w:top w:w="100" w:type="dxa"/>
              <w:left w:w="100" w:type="dxa"/>
              <w:bottom w:w="100" w:type="dxa"/>
              <w:right w:w="100" w:type="dxa"/>
            </w:tcMar>
          </w:tcPr>
          <w:p w14:paraId="2F908A05" w14:textId="77777777" w:rsidR="00C4033A" w:rsidRDefault="001A04DB">
            <w:pPr>
              <w:widowControl w:val="0"/>
              <w:pBdr>
                <w:top w:val="nil"/>
                <w:left w:val="nil"/>
                <w:bottom w:val="nil"/>
                <w:right w:val="nil"/>
                <w:between w:val="nil"/>
              </w:pBdr>
              <w:spacing w:line="240" w:lineRule="auto"/>
            </w:pPr>
            <w:r>
              <w:t>Summative Assessment (3-8 ELA &amp; Math)</w:t>
            </w:r>
          </w:p>
        </w:tc>
        <w:tc>
          <w:tcPr>
            <w:tcW w:w="3549" w:type="dxa"/>
            <w:shd w:val="clear" w:color="auto" w:fill="auto"/>
            <w:tcMar>
              <w:top w:w="100" w:type="dxa"/>
              <w:left w:w="100" w:type="dxa"/>
              <w:bottom w:w="100" w:type="dxa"/>
              <w:right w:w="100" w:type="dxa"/>
            </w:tcMar>
          </w:tcPr>
          <w:p w14:paraId="570BA7BA" w14:textId="77777777" w:rsidR="00C4033A" w:rsidRDefault="001A04DB">
            <w:pPr>
              <w:widowControl w:val="0"/>
              <w:numPr>
                <w:ilvl w:val="0"/>
                <w:numId w:val="2"/>
              </w:numPr>
              <w:pBdr>
                <w:top w:val="nil"/>
                <w:left w:val="nil"/>
                <w:bottom w:val="nil"/>
                <w:right w:val="nil"/>
                <w:between w:val="nil"/>
              </w:pBdr>
              <w:spacing w:line="240" w:lineRule="auto"/>
              <w:ind w:left="360"/>
            </w:pPr>
            <w:r>
              <w:t>Meet requirements of ESEA</w:t>
            </w:r>
          </w:p>
          <w:p w14:paraId="752E671B" w14:textId="58C02F1C" w:rsidR="00C4033A" w:rsidRDefault="00B909C5">
            <w:pPr>
              <w:widowControl w:val="0"/>
              <w:numPr>
                <w:ilvl w:val="0"/>
                <w:numId w:val="2"/>
              </w:numPr>
              <w:pBdr>
                <w:top w:val="nil"/>
                <w:left w:val="nil"/>
                <w:bottom w:val="nil"/>
                <w:right w:val="nil"/>
                <w:between w:val="nil"/>
              </w:pBdr>
              <w:spacing w:line="240" w:lineRule="auto"/>
              <w:ind w:left="360"/>
            </w:pPr>
            <w:r>
              <w:t>S</w:t>
            </w:r>
            <w:r w:rsidR="001A04DB">
              <w:t>upport state and district leaders determine where support should be targeted</w:t>
            </w:r>
          </w:p>
          <w:p w14:paraId="10365D2A" w14:textId="77777777" w:rsidR="00C4033A" w:rsidRDefault="001A04DB">
            <w:pPr>
              <w:widowControl w:val="0"/>
              <w:numPr>
                <w:ilvl w:val="0"/>
                <w:numId w:val="2"/>
              </w:numPr>
              <w:pBdr>
                <w:top w:val="nil"/>
                <w:left w:val="nil"/>
                <w:bottom w:val="nil"/>
                <w:right w:val="nil"/>
                <w:between w:val="nil"/>
              </w:pBdr>
              <w:spacing w:line="240" w:lineRule="auto"/>
              <w:ind w:left="360"/>
            </w:pPr>
            <w:r>
              <w:t>Help schools evaluate the impact of programmatic changes (e.g., curriculum and instruction)</w:t>
            </w:r>
          </w:p>
        </w:tc>
        <w:tc>
          <w:tcPr>
            <w:tcW w:w="4826" w:type="dxa"/>
            <w:shd w:val="clear" w:color="auto" w:fill="auto"/>
            <w:tcMar>
              <w:top w:w="100" w:type="dxa"/>
              <w:left w:w="100" w:type="dxa"/>
              <w:bottom w:w="100" w:type="dxa"/>
              <w:right w:w="100" w:type="dxa"/>
            </w:tcMar>
          </w:tcPr>
          <w:p w14:paraId="10A0CC88" w14:textId="5C2B84B4" w:rsidR="00C4033A" w:rsidRDefault="001A04DB">
            <w:pPr>
              <w:widowControl w:val="0"/>
              <w:pBdr>
                <w:top w:val="nil"/>
                <w:left w:val="nil"/>
                <w:bottom w:val="nil"/>
                <w:right w:val="nil"/>
                <w:between w:val="nil"/>
              </w:pBdr>
              <w:spacing w:line="240" w:lineRule="auto"/>
            </w:pPr>
            <w:r>
              <w:t>End-of-year summative designed to meet the depth and breadth of the state standards</w:t>
            </w:r>
          </w:p>
          <w:p w14:paraId="03D340B2" w14:textId="77777777" w:rsidR="00C4033A" w:rsidRDefault="00C4033A">
            <w:pPr>
              <w:widowControl w:val="0"/>
              <w:pBdr>
                <w:top w:val="nil"/>
                <w:left w:val="nil"/>
                <w:bottom w:val="nil"/>
                <w:right w:val="nil"/>
                <w:between w:val="nil"/>
              </w:pBdr>
              <w:spacing w:line="240" w:lineRule="auto"/>
            </w:pPr>
          </w:p>
          <w:p w14:paraId="5A65A47C" w14:textId="77777777" w:rsidR="00C4033A" w:rsidRDefault="001A04DB">
            <w:pPr>
              <w:widowControl w:val="0"/>
              <w:spacing w:line="240" w:lineRule="auto"/>
              <w:rPr>
                <w:b/>
              </w:rPr>
            </w:pPr>
            <w:r>
              <w:rPr>
                <w:b/>
              </w:rPr>
              <w:t>High Priority Design Features:</w:t>
            </w:r>
          </w:p>
          <w:p w14:paraId="08640F41" w14:textId="77777777" w:rsidR="00C4033A" w:rsidRDefault="001A04DB">
            <w:pPr>
              <w:widowControl w:val="0"/>
              <w:numPr>
                <w:ilvl w:val="0"/>
                <w:numId w:val="4"/>
              </w:numPr>
              <w:spacing w:line="240" w:lineRule="auto"/>
              <w:rPr>
                <w:b/>
              </w:rPr>
            </w:pPr>
            <w:r>
              <w:t>Aligned to state’s content standards</w:t>
            </w:r>
          </w:p>
          <w:p w14:paraId="01A9DACD" w14:textId="77777777" w:rsidR="00C4033A" w:rsidRDefault="001A04DB">
            <w:pPr>
              <w:widowControl w:val="0"/>
              <w:numPr>
                <w:ilvl w:val="0"/>
                <w:numId w:val="4"/>
              </w:numPr>
              <w:spacing w:line="240" w:lineRule="auto"/>
            </w:pPr>
            <w:r>
              <w:t>Blueprint structured according to content standard domains</w:t>
            </w:r>
          </w:p>
          <w:p w14:paraId="6C3BA810" w14:textId="46BF1AD6" w:rsidR="00C4033A" w:rsidRDefault="001A04DB">
            <w:pPr>
              <w:widowControl w:val="0"/>
              <w:numPr>
                <w:ilvl w:val="0"/>
                <w:numId w:val="4"/>
              </w:numPr>
              <w:spacing w:line="240" w:lineRule="auto"/>
            </w:pPr>
            <w:r>
              <w:t>Covers the full depth and breadth of the state standards in a two</w:t>
            </w:r>
            <w:r w:rsidR="00F61B4B">
              <w:t>-</w:t>
            </w:r>
            <w:r>
              <w:t xml:space="preserve">year rotation </w:t>
            </w:r>
          </w:p>
          <w:p w14:paraId="47AB537E" w14:textId="77777777" w:rsidR="00C4033A" w:rsidRDefault="001A04DB">
            <w:pPr>
              <w:widowControl w:val="0"/>
              <w:numPr>
                <w:ilvl w:val="0"/>
                <w:numId w:val="4"/>
              </w:numPr>
              <w:spacing w:line="240" w:lineRule="auto"/>
            </w:pPr>
            <w:r>
              <w:t xml:space="preserve">Computer administered, non-adaptive </w:t>
            </w:r>
          </w:p>
        </w:tc>
      </w:tr>
      <w:tr w:rsidR="00C4033A" w14:paraId="74E16CAC" w14:textId="77777777">
        <w:trPr>
          <w:trHeight w:val="3959"/>
        </w:trPr>
        <w:tc>
          <w:tcPr>
            <w:tcW w:w="1584" w:type="dxa"/>
            <w:shd w:val="clear" w:color="auto" w:fill="auto"/>
            <w:tcMar>
              <w:top w:w="100" w:type="dxa"/>
              <w:left w:w="100" w:type="dxa"/>
              <w:bottom w:w="100" w:type="dxa"/>
              <w:right w:w="100" w:type="dxa"/>
            </w:tcMar>
          </w:tcPr>
          <w:p w14:paraId="590200AC" w14:textId="77777777" w:rsidR="00C4033A" w:rsidRDefault="001A04DB">
            <w:pPr>
              <w:widowControl w:val="0"/>
              <w:pBdr>
                <w:top w:val="nil"/>
                <w:left w:val="nil"/>
                <w:bottom w:val="nil"/>
                <w:right w:val="nil"/>
                <w:between w:val="nil"/>
              </w:pBdr>
              <w:spacing w:line="240" w:lineRule="auto"/>
            </w:pPr>
            <w:r>
              <w:t>Interim Assessments (3-8 ELA &amp; Math)</w:t>
            </w:r>
          </w:p>
        </w:tc>
        <w:tc>
          <w:tcPr>
            <w:tcW w:w="3549" w:type="dxa"/>
            <w:shd w:val="clear" w:color="auto" w:fill="auto"/>
            <w:tcMar>
              <w:top w:w="100" w:type="dxa"/>
              <w:left w:w="100" w:type="dxa"/>
              <w:bottom w:w="100" w:type="dxa"/>
              <w:right w:w="100" w:type="dxa"/>
            </w:tcMar>
          </w:tcPr>
          <w:p w14:paraId="3CE0B6F4" w14:textId="1AB8669A" w:rsidR="00C4033A" w:rsidRDefault="001A04DB">
            <w:pPr>
              <w:widowControl w:val="0"/>
              <w:numPr>
                <w:ilvl w:val="0"/>
                <w:numId w:val="2"/>
              </w:numPr>
              <w:pBdr>
                <w:top w:val="nil"/>
                <w:left w:val="nil"/>
                <w:bottom w:val="nil"/>
                <w:right w:val="nil"/>
                <w:between w:val="nil"/>
              </w:pBdr>
              <w:spacing w:line="240" w:lineRule="auto"/>
              <w:ind w:left="360"/>
            </w:pPr>
            <w:r>
              <w:t>To support educators in determining whether their students have meet standards</w:t>
            </w:r>
            <w:r w:rsidR="00B909C5">
              <w:t>-</w:t>
            </w:r>
            <w:r>
              <w:t>based expectations, so that they can customize upcoming lesson plans or engage in self</w:t>
            </w:r>
            <w:r w:rsidR="00B909C5">
              <w:t>-</w:t>
            </w:r>
            <w:r>
              <w:t>evaluation</w:t>
            </w:r>
          </w:p>
          <w:p w14:paraId="13D77AC5" w14:textId="77777777" w:rsidR="00C4033A" w:rsidRDefault="001A04DB">
            <w:pPr>
              <w:widowControl w:val="0"/>
              <w:numPr>
                <w:ilvl w:val="0"/>
                <w:numId w:val="2"/>
              </w:numPr>
              <w:pBdr>
                <w:top w:val="nil"/>
                <w:left w:val="nil"/>
                <w:bottom w:val="nil"/>
                <w:right w:val="nil"/>
                <w:between w:val="nil"/>
              </w:pBdr>
              <w:spacing w:line="240" w:lineRule="auto"/>
              <w:ind w:left="360"/>
            </w:pPr>
            <w:r>
              <w:t>To support instructional leaders in targeting supports during the year</w:t>
            </w:r>
          </w:p>
          <w:p w14:paraId="4C8DA006" w14:textId="77777777" w:rsidR="00C4033A" w:rsidRDefault="00C4033A">
            <w:pPr>
              <w:widowControl w:val="0"/>
              <w:pBdr>
                <w:top w:val="nil"/>
                <w:left w:val="nil"/>
                <w:bottom w:val="nil"/>
                <w:right w:val="nil"/>
                <w:between w:val="nil"/>
              </w:pBdr>
              <w:spacing w:line="240" w:lineRule="auto"/>
            </w:pPr>
          </w:p>
          <w:p w14:paraId="7040D274" w14:textId="77777777" w:rsidR="00C4033A" w:rsidRDefault="00C4033A">
            <w:pPr>
              <w:widowControl w:val="0"/>
              <w:spacing w:line="240" w:lineRule="auto"/>
            </w:pPr>
          </w:p>
        </w:tc>
        <w:tc>
          <w:tcPr>
            <w:tcW w:w="4826" w:type="dxa"/>
            <w:shd w:val="clear" w:color="auto" w:fill="auto"/>
            <w:tcMar>
              <w:top w:w="100" w:type="dxa"/>
              <w:left w:w="100" w:type="dxa"/>
              <w:bottom w:w="100" w:type="dxa"/>
              <w:right w:w="100" w:type="dxa"/>
            </w:tcMar>
          </w:tcPr>
          <w:p w14:paraId="01D6A8E6" w14:textId="0C8EC822" w:rsidR="00C4033A" w:rsidRDefault="001A04DB">
            <w:pPr>
              <w:widowControl w:val="0"/>
              <w:pBdr>
                <w:top w:val="nil"/>
                <w:left w:val="nil"/>
                <w:bottom w:val="nil"/>
                <w:right w:val="nil"/>
                <w:between w:val="nil"/>
              </w:pBdr>
              <w:spacing w:line="240" w:lineRule="auto"/>
            </w:pPr>
            <w:r>
              <w:t>Modular interim assessments designed to assess SEA</w:t>
            </w:r>
            <w:r w:rsidR="00F61B4B">
              <w:t>-</w:t>
            </w:r>
            <w:r>
              <w:t>defined groups of standards (currently six modules in each subject and grade), to be given on demand by educators within the same platform as the statewide test. Reported in terms of proficiency on each group of standards</w:t>
            </w:r>
          </w:p>
          <w:p w14:paraId="231A43AB" w14:textId="77777777" w:rsidR="00C4033A" w:rsidRDefault="00C4033A">
            <w:pPr>
              <w:widowControl w:val="0"/>
              <w:pBdr>
                <w:top w:val="nil"/>
                <w:left w:val="nil"/>
                <w:bottom w:val="nil"/>
                <w:right w:val="nil"/>
                <w:between w:val="nil"/>
              </w:pBdr>
              <w:spacing w:line="240" w:lineRule="auto"/>
            </w:pPr>
          </w:p>
          <w:p w14:paraId="41A2AEDF" w14:textId="77777777" w:rsidR="00C4033A" w:rsidRDefault="001A04DB">
            <w:pPr>
              <w:widowControl w:val="0"/>
              <w:pBdr>
                <w:top w:val="nil"/>
                <w:left w:val="nil"/>
                <w:bottom w:val="nil"/>
                <w:right w:val="nil"/>
                <w:between w:val="nil"/>
              </w:pBdr>
              <w:spacing w:line="240" w:lineRule="auto"/>
              <w:rPr>
                <w:b/>
              </w:rPr>
            </w:pPr>
            <w:r>
              <w:rPr>
                <w:b/>
              </w:rPr>
              <w:t xml:space="preserve">High Priority Design Features:  </w:t>
            </w:r>
          </w:p>
          <w:p w14:paraId="191B70E3" w14:textId="77777777" w:rsidR="00C4033A" w:rsidRDefault="001A04DB">
            <w:pPr>
              <w:widowControl w:val="0"/>
              <w:numPr>
                <w:ilvl w:val="0"/>
                <w:numId w:val="1"/>
              </w:numPr>
              <w:pBdr>
                <w:top w:val="nil"/>
                <w:left w:val="nil"/>
                <w:bottom w:val="nil"/>
                <w:right w:val="nil"/>
                <w:between w:val="nil"/>
              </w:pBdr>
              <w:spacing w:line="240" w:lineRule="auto"/>
            </w:pPr>
            <w:r>
              <w:t>Aligned to state’s content standards</w:t>
            </w:r>
          </w:p>
          <w:p w14:paraId="4CC68011" w14:textId="77777777" w:rsidR="00C4033A" w:rsidRDefault="001A04DB">
            <w:pPr>
              <w:widowControl w:val="0"/>
              <w:numPr>
                <w:ilvl w:val="0"/>
                <w:numId w:val="1"/>
              </w:numPr>
              <w:pBdr>
                <w:top w:val="nil"/>
                <w:left w:val="nil"/>
                <w:bottom w:val="nil"/>
                <w:right w:val="nil"/>
                <w:between w:val="nil"/>
              </w:pBdr>
              <w:spacing w:line="240" w:lineRule="auto"/>
            </w:pPr>
            <w:r>
              <w:t>Computer adaptive - above and below grade level</w:t>
            </w:r>
          </w:p>
          <w:p w14:paraId="762BF094" w14:textId="77777777" w:rsidR="00C4033A" w:rsidRDefault="001A04DB">
            <w:pPr>
              <w:widowControl w:val="0"/>
              <w:numPr>
                <w:ilvl w:val="0"/>
                <w:numId w:val="1"/>
              </w:numPr>
              <w:pBdr>
                <w:top w:val="nil"/>
                <w:left w:val="nil"/>
                <w:bottom w:val="nil"/>
                <w:right w:val="nil"/>
                <w:between w:val="nil"/>
              </w:pBdr>
              <w:spacing w:line="240" w:lineRule="auto"/>
            </w:pPr>
            <w:r>
              <w:t>Not secure - educators have access to items after testing</w:t>
            </w:r>
          </w:p>
          <w:p w14:paraId="0EB946E5" w14:textId="77777777" w:rsidR="00C4033A" w:rsidRDefault="001A04DB">
            <w:pPr>
              <w:widowControl w:val="0"/>
              <w:numPr>
                <w:ilvl w:val="0"/>
                <w:numId w:val="1"/>
              </w:numPr>
              <w:pBdr>
                <w:top w:val="nil"/>
                <w:left w:val="nil"/>
                <w:bottom w:val="nil"/>
                <w:right w:val="nil"/>
                <w:between w:val="nil"/>
              </w:pBdr>
              <w:spacing w:line="240" w:lineRule="auto"/>
            </w:pPr>
            <w:r>
              <w:t>Immediate reporting that includes status and growth</w:t>
            </w:r>
          </w:p>
        </w:tc>
      </w:tr>
      <w:tr w:rsidR="00C4033A" w14:paraId="3DE7F07B" w14:textId="77777777" w:rsidTr="00511C66">
        <w:trPr>
          <w:trHeight w:val="2760"/>
        </w:trPr>
        <w:tc>
          <w:tcPr>
            <w:tcW w:w="1584" w:type="dxa"/>
            <w:shd w:val="clear" w:color="auto" w:fill="auto"/>
            <w:tcMar>
              <w:top w:w="100" w:type="dxa"/>
              <w:left w:w="100" w:type="dxa"/>
              <w:bottom w:w="100" w:type="dxa"/>
              <w:right w:w="100" w:type="dxa"/>
            </w:tcMar>
          </w:tcPr>
          <w:p w14:paraId="0712E625" w14:textId="77777777" w:rsidR="00C4033A" w:rsidRDefault="001A04DB">
            <w:pPr>
              <w:widowControl w:val="0"/>
              <w:pBdr>
                <w:top w:val="nil"/>
                <w:left w:val="nil"/>
                <w:bottom w:val="nil"/>
                <w:right w:val="nil"/>
                <w:between w:val="nil"/>
              </w:pBdr>
              <w:spacing w:line="240" w:lineRule="auto"/>
            </w:pPr>
            <w:r>
              <w:lastRenderedPageBreak/>
              <w:t>Assessment Literacy Professional Development</w:t>
            </w:r>
          </w:p>
        </w:tc>
        <w:tc>
          <w:tcPr>
            <w:tcW w:w="3549" w:type="dxa"/>
            <w:shd w:val="clear" w:color="auto" w:fill="auto"/>
            <w:tcMar>
              <w:top w:w="100" w:type="dxa"/>
              <w:left w:w="100" w:type="dxa"/>
              <w:bottom w:w="100" w:type="dxa"/>
              <w:right w:w="100" w:type="dxa"/>
            </w:tcMar>
          </w:tcPr>
          <w:p w14:paraId="7B13BD07" w14:textId="639C0A85" w:rsidR="00C4033A" w:rsidRDefault="001A04DB">
            <w:pPr>
              <w:widowControl w:val="0"/>
              <w:numPr>
                <w:ilvl w:val="0"/>
                <w:numId w:val="2"/>
              </w:numPr>
              <w:spacing w:line="240" w:lineRule="auto"/>
              <w:ind w:left="360"/>
            </w:pPr>
            <w:r>
              <w:t>To support teachers in developing their abilities to follow (a) general best practices in classroom assessment and (b) situate state</w:t>
            </w:r>
            <w:r w:rsidR="00461C01">
              <w:t>-</w:t>
            </w:r>
            <w:r>
              <w:t xml:space="preserve">provided assessments within those practices </w:t>
            </w:r>
          </w:p>
          <w:p w14:paraId="3F47C076" w14:textId="424C2DD4" w:rsidR="00C4033A" w:rsidRDefault="001A04DB">
            <w:pPr>
              <w:widowControl w:val="0"/>
              <w:numPr>
                <w:ilvl w:val="0"/>
                <w:numId w:val="2"/>
              </w:numPr>
              <w:spacing w:line="240" w:lineRule="auto"/>
              <w:ind w:left="360"/>
            </w:pPr>
            <w:r>
              <w:t>To help leaders understand the best ways to support their teachers’ assessment practices, as well as to understand specific ways assessment data can be used in informing program evaluation type decisions</w:t>
            </w:r>
          </w:p>
        </w:tc>
        <w:tc>
          <w:tcPr>
            <w:tcW w:w="4826" w:type="dxa"/>
            <w:shd w:val="clear" w:color="auto" w:fill="auto"/>
            <w:tcMar>
              <w:top w:w="100" w:type="dxa"/>
              <w:left w:w="100" w:type="dxa"/>
              <w:bottom w:w="100" w:type="dxa"/>
              <w:right w:w="100" w:type="dxa"/>
            </w:tcMar>
          </w:tcPr>
          <w:p w14:paraId="3EAF3FB7" w14:textId="5CA0728D" w:rsidR="00C4033A" w:rsidRDefault="001A04DB">
            <w:pPr>
              <w:widowControl w:val="0"/>
              <w:pBdr>
                <w:top w:val="nil"/>
                <w:left w:val="nil"/>
                <w:bottom w:val="nil"/>
                <w:right w:val="nil"/>
                <w:between w:val="nil"/>
              </w:pBdr>
              <w:spacing w:line="240" w:lineRule="auto"/>
            </w:pPr>
            <w:r>
              <w:t xml:space="preserve">A set of professional learning </w:t>
            </w:r>
            <w:r w:rsidR="009B454D">
              <w:t>modules</w:t>
            </w:r>
            <w:r>
              <w:t xml:space="preserve">, </w:t>
            </w:r>
            <w:r w:rsidR="009B454D">
              <w:t>such as the</w:t>
            </w:r>
            <w:r w:rsidR="00404CDA">
              <w:t xml:space="preserve"> </w:t>
            </w:r>
            <w:r w:rsidR="009B454D">
              <w:t xml:space="preserve">Center’s </w:t>
            </w:r>
            <w:hyperlink r:id="rId18">
              <w:r w:rsidR="00461C01">
                <w:rPr>
                  <w:color w:val="1155CC"/>
                  <w:u w:val="single"/>
                </w:rPr>
                <w:t>open-source</w:t>
              </w:r>
            </w:hyperlink>
            <w:r w:rsidR="00404CDA">
              <w:rPr>
                <w:color w:val="1155CC"/>
                <w:u w:val="single"/>
              </w:rPr>
              <w:t xml:space="preserve"> assessment literacy module</w:t>
            </w:r>
            <w:r w:rsidR="009B454D">
              <w:rPr>
                <w:color w:val="1155CC"/>
                <w:u w:val="single"/>
              </w:rPr>
              <w:t>s</w:t>
            </w:r>
            <w:r w:rsidRPr="00404CDA">
              <w:t xml:space="preserve"> or</w:t>
            </w:r>
            <w:r>
              <w:t xml:space="preserve"> </w:t>
            </w:r>
            <w:r w:rsidR="009B454D">
              <w:t xml:space="preserve">those </w:t>
            </w:r>
            <w:r>
              <w:t xml:space="preserve">provided by </w:t>
            </w:r>
            <w:r w:rsidR="00404CDA">
              <w:t xml:space="preserve">a </w:t>
            </w:r>
            <w:r>
              <w:t>vendor, that cover the basics of formative and summative assessment</w:t>
            </w:r>
            <w:r w:rsidR="009B454D">
              <w:t xml:space="preserve"> with respect to test purpose, use and des</w:t>
            </w:r>
            <w:r w:rsidR="00C93C78">
              <w:t>ign</w:t>
            </w:r>
            <w:r>
              <w:t xml:space="preserve"> </w:t>
            </w:r>
          </w:p>
          <w:p w14:paraId="642C28F1" w14:textId="77777777" w:rsidR="00C4033A" w:rsidRDefault="00C4033A">
            <w:pPr>
              <w:widowControl w:val="0"/>
              <w:spacing w:line="240" w:lineRule="auto"/>
              <w:rPr>
                <w:b/>
              </w:rPr>
            </w:pPr>
          </w:p>
          <w:p w14:paraId="0D2BA11C" w14:textId="78639847" w:rsidR="00C4033A" w:rsidRDefault="00461C01">
            <w:pPr>
              <w:widowControl w:val="0"/>
              <w:spacing w:line="240" w:lineRule="auto"/>
            </w:pPr>
            <w:r>
              <w:rPr>
                <w:b/>
              </w:rPr>
              <w:t>High-Priority</w:t>
            </w:r>
            <w:r w:rsidR="001A04DB">
              <w:rPr>
                <w:b/>
              </w:rPr>
              <w:t xml:space="preserve"> Design Features</w:t>
            </w:r>
          </w:p>
          <w:p w14:paraId="5DD076CD" w14:textId="038CF621" w:rsidR="00C4033A" w:rsidRDefault="001A04DB">
            <w:pPr>
              <w:widowControl w:val="0"/>
              <w:numPr>
                <w:ilvl w:val="0"/>
                <w:numId w:val="6"/>
              </w:numPr>
              <w:pBdr>
                <w:top w:val="nil"/>
                <w:left w:val="nil"/>
                <w:bottom w:val="nil"/>
                <w:right w:val="nil"/>
                <w:between w:val="nil"/>
              </w:pBdr>
              <w:spacing w:line="240" w:lineRule="auto"/>
            </w:pPr>
            <w:r>
              <w:t>These modules should be tailored to the state context, including the uses of the state provided assessments</w:t>
            </w:r>
            <w:r w:rsidR="00400811">
              <w:t>, and accompanied by materials that support local training efforts (e.g., power points, speaker notes)</w:t>
            </w:r>
          </w:p>
          <w:p w14:paraId="0F1DD3CD" w14:textId="12577FE4" w:rsidR="00C4033A" w:rsidRDefault="001A04DB">
            <w:pPr>
              <w:widowControl w:val="0"/>
              <w:numPr>
                <w:ilvl w:val="0"/>
                <w:numId w:val="6"/>
              </w:numPr>
              <w:pBdr>
                <w:top w:val="nil"/>
                <w:left w:val="nil"/>
                <w:bottom w:val="nil"/>
                <w:right w:val="nil"/>
                <w:between w:val="nil"/>
              </w:pBdr>
              <w:spacing w:line="240" w:lineRule="auto"/>
            </w:pPr>
            <w:r>
              <w:t>Module materials should be made available online in early summer</w:t>
            </w:r>
          </w:p>
          <w:p w14:paraId="06531F64" w14:textId="41D1FA30" w:rsidR="00C4033A" w:rsidRDefault="001A04DB">
            <w:pPr>
              <w:widowControl w:val="0"/>
              <w:numPr>
                <w:ilvl w:val="0"/>
                <w:numId w:val="6"/>
              </w:numPr>
              <w:pBdr>
                <w:top w:val="nil"/>
                <w:left w:val="nil"/>
                <w:bottom w:val="nil"/>
                <w:right w:val="nil"/>
                <w:between w:val="nil"/>
              </w:pBdr>
              <w:spacing w:line="240" w:lineRule="auto"/>
            </w:pPr>
            <w:r>
              <w:t xml:space="preserve">Module content should also be delivered live online monthly based on a mutually agreed upon calendar </w:t>
            </w:r>
          </w:p>
        </w:tc>
      </w:tr>
      <w:tr w:rsidR="00C4033A" w14:paraId="6D8128FB" w14:textId="77777777">
        <w:tc>
          <w:tcPr>
            <w:tcW w:w="1584" w:type="dxa"/>
            <w:shd w:val="clear" w:color="auto" w:fill="auto"/>
            <w:tcMar>
              <w:top w:w="100" w:type="dxa"/>
              <w:left w:w="100" w:type="dxa"/>
              <w:bottom w:w="100" w:type="dxa"/>
              <w:right w:w="100" w:type="dxa"/>
            </w:tcMar>
          </w:tcPr>
          <w:p w14:paraId="06017E85" w14:textId="77777777" w:rsidR="00C4033A" w:rsidRDefault="001A04DB">
            <w:pPr>
              <w:widowControl w:val="0"/>
              <w:pBdr>
                <w:top w:val="nil"/>
                <w:left w:val="nil"/>
                <w:bottom w:val="nil"/>
                <w:right w:val="nil"/>
                <w:between w:val="nil"/>
              </w:pBdr>
              <w:spacing w:line="240" w:lineRule="auto"/>
            </w:pPr>
            <w:r>
              <w:t>Item Bank</w:t>
            </w:r>
          </w:p>
        </w:tc>
        <w:tc>
          <w:tcPr>
            <w:tcW w:w="3549" w:type="dxa"/>
            <w:shd w:val="clear" w:color="auto" w:fill="auto"/>
            <w:tcMar>
              <w:top w:w="100" w:type="dxa"/>
              <w:left w:w="100" w:type="dxa"/>
              <w:bottom w:w="100" w:type="dxa"/>
              <w:right w:w="100" w:type="dxa"/>
            </w:tcMar>
          </w:tcPr>
          <w:p w14:paraId="025F7402" w14:textId="71F556B6" w:rsidR="00C4033A" w:rsidRDefault="001A04DB">
            <w:pPr>
              <w:widowControl w:val="0"/>
              <w:numPr>
                <w:ilvl w:val="0"/>
                <w:numId w:val="5"/>
              </w:numPr>
              <w:spacing w:line="240" w:lineRule="auto"/>
              <w:ind w:left="360"/>
            </w:pPr>
            <w:r>
              <w:t>To</w:t>
            </w:r>
            <w:r w:rsidR="00400811">
              <w:t xml:space="preserve"> supplement or support the development </w:t>
            </w:r>
            <w:r w:rsidR="00511C66">
              <w:t xml:space="preserve">of </w:t>
            </w:r>
            <w:r w:rsidR="00400811">
              <w:t>local assessments</w:t>
            </w:r>
            <w:r>
              <w:t xml:space="preserve">   </w:t>
            </w:r>
          </w:p>
          <w:p w14:paraId="22F23357" w14:textId="3968B890" w:rsidR="00C4033A" w:rsidRDefault="001A04DB">
            <w:pPr>
              <w:widowControl w:val="0"/>
              <w:numPr>
                <w:ilvl w:val="0"/>
                <w:numId w:val="5"/>
              </w:numPr>
              <w:spacing w:line="240" w:lineRule="auto"/>
              <w:ind w:left="360"/>
            </w:pPr>
            <w:r>
              <w:t xml:space="preserve">To provide items and tasks </w:t>
            </w:r>
            <w:r w:rsidR="00400811">
              <w:t>for difficult to assess standards (fill gaps)</w:t>
            </w:r>
            <w:r>
              <w:t xml:space="preserve"> </w:t>
            </w:r>
          </w:p>
          <w:p w14:paraId="40A85671" w14:textId="75F96B2A" w:rsidR="00C4033A" w:rsidRDefault="001A04DB">
            <w:pPr>
              <w:widowControl w:val="0"/>
              <w:numPr>
                <w:ilvl w:val="0"/>
                <w:numId w:val="5"/>
              </w:numPr>
              <w:spacing w:line="240" w:lineRule="auto"/>
              <w:ind w:left="360"/>
            </w:pPr>
            <w:r>
              <w:t xml:space="preserve">To replace </w:t>
            </w:r>
            <w:r w:rsidR="00461C01">
              <w:t>low-quality</w:t>
            </w:r>
            <w:r>
              <w:t xml:space="preserve"> items/tasks with </w:t>
            </w:r>
            <w:r w:rsidR="00461C01">
              <w:t>high-quality</w:t>
            </w:r>
            <w:r>
              <w:t xml:space="preserve"> tasks </w:t>
            </w:r>
          </w:p>
          <w:p w14:paraId="1509029F" w14:textId="77777777" w:rsidR="00C4033A" w:rsidRDefault="001A04DB">
            <w:pPr>
              <w:widowControl w:val="0"/>
              <w:numPr>
                <w:ilvl w:val="0"/>
                <w:numId w:val="5"/>
              </w:numPr>
              <w:spacing w:line="240" w:lineRule="auto"/>
              <w:ind w:left="360"/>
            </w:pPr>
            <w:r>
              <w:t xml:space="preserve">To provide common items/tasks to support professional learning </w:t>
            </w:r>
          </w:p>
          <w:p w14:paraId="15B651E0" w14:textId="77777777" w:rsidR="00C4033A" w:rsidRDefault="00C4033A">
            <w:pPr>
              <w:widowControl w:val="0"/>
              <w:pBdr>
                <w:top w:val="nil"/>
                <w:left w:val="nil"/>
                <w:bottom w:val="nil"/>
                <w:right w:val="nil"/>
                <w:between w:val="nil"/>
              </w:pBdr>
              <w:spacing w:line="240" w:lineRule="auto"/>
              <w:rPr>
                <w:b/>
              </w:rPr>
            </w:pPr>
          </w:p>
        </w:tc>
        <w:tc>
          <w:tcPr>
            <w:tcW w:w="4826" w:type="dxa"/>
            <w:shd w:val="clear" w:color="auto" w:fill="auto"/>
            <w:tcMar>
              <w:top w:w="100" w:type="dxa"/>
              <w:left w:w="100" w:type="dxa"/>
              <w:bottom w:w="100" w:type="dxa"/>
              <w:right w:w="100" w:type="dxa"/>
            </w:tcMar>
          </w:tcPr>
          <w:p w14:paraId="0E6FB620" w14:textId="77777777" w:rsidR="00C4033A" w:rsidRDefault="001A04DB">
            <w:pPr>
              <w:widowControl w:val="0"/>
              <w:pBdr>
                <w:top w:val="nil"/>
                <w:left w:val="nil"/>
                <w:bottom w:val="nil"/>
                <w:right w:val="nil"/>
                <w:between w:val="nil"/>
              </w:pBdr>
              <w:spacing w:line="240" w:lineRule="auto"/>
            </w:pPr>
            <w:r>
              <w:t xml:space="preserve">An item bank that includes high quality items aligned to the state standards. </w:t>
            </w:r>
          </w:p>
          <w:p w14:paraId="6EAAA27E" w14:textId="77777777" w:rsidR="00C4033A" w:rsidRDefault="00C4033A">
            <w:pPr>
              <w:widowControl w:val="0"/>
              <w:pBdr>
                <w:top w:val="nil"/>
                <w:left w:val="nil"/>
                <w:bottom w:val="nil"/>
                <w:right w:val="nil"/>
                <w:between w:val="nil"/>
              </w:pBdr>
              <w:spacing w:line="240" w:lineRule="auto"/>
            </w:pPr>
          </w:p>
          <w:p w14:paraId="2328B6CF" w14:textId="3DB90271" w:rsidR="00C4033A" w:rsidRDefault="00461C01">
            <w:pPr>
              <w:widowControl w:val="0"/>
              <w:pBdr>
                <w:top w:val="nil"/>
                <w:left w:val="nil"/>
                <w:bottom w:val="nil"/>
                <w:right w:val="nil"/>
                <w:between w:val="nil"/>
              </w:pBdr>
              <w:spacing w:line="240" w:lineRule="auto"/>
              <w:rPr>
                <w:b/>
              </w:rPr>
            </w:pPr>
            <w:r>
              <w:rPr>
                <w:b/>
              </w:rPr>
              <w:t>High-Priority</w:t>
            </w:r>
            <w:r w:rsidR="001A04DB">
              <w:rPr>
                <w:b/>
              </w:rPr>
              <w:t xml:space="preserve"> Design Features</w:t>
            </w:r>
          </w:p>
          <w:p w14:paraId="6BF9E090" w14:textId="77777777" w:rsidR="00C4033A" w:rsidRDefault="001A04DB">
            <w:pPr>
              <w:widowControl w:val="0"/>
              <w:numPr>
                <w:ilvl w:val="0"/>
                <w:numId w:val="6"/>
              </w:numPr>
              <w:spacing w:line="240" w:lineRule="auto"/>
            </w:pPr>
            <w:r>
              <w:t xml:space="preserve">Include a mix of individual items and short performance tasks </w:t>
            </w:r>
          </w:p>
          <w:p w14:paraId="6C28EB72" w14:textId="77777777" w:rsidR="00C4033A" w:rsidRDefault="001A04DB">
            <w:pPr>
              <w:widowControl w:val="0"/>
              <w:numPr>
                <w:ilvl w:val="0"/>
                <w:numId w:val="6"/>
              </w:numPr>
              <w:spacing w:line="240" w:lineRule="auto"/>
            </w:pPr>
            <w:r>
              <w:t xml:space="preserve">Standards alignment at the item level </w:t>
            </w:r>
          </w:p>
          <w:p w14:paraId="78DD6D6C" w14:textId="7D9F8117" w:rsidR="00C4033A" w:rsidRDefault="001A04DB">
            <w:pPr>
              <w:widowControl w:val="0"/>
              <w:numPr>
                <w:ilvl w:val="0"/>
                <w:numId w:val="6"/>
              </w:numPr>
              <w:spacing w:line="240" w:lineRule="auto"/>
            </w:pPr>
            <w:r>
              <w:t>Online web portal with search feature</w:t>
            </w:r>
            <w:r w:rsidR="00461C01">
              <w:t>s</w:t>
            </w:r>
            <w:r>
              <w:t xml:space="preserve">, </w:t>
            </w:r>
            <w:r w:rsidR="00150C31">
              <w:t xml:space="preserve">and </w:t>
            </w:r>
            <w:r>
              <w:t xml:space="preserve">permissioned log ins for teachers </w:t>
            </w:r>
          </w:p>
          <w:p w14:paraId="61BBAF8F" w14:textId="77777777" w:rsidR="00C4033A" w:rsidRDefault="001A04DB">
            <w:pPr>
              <w:widowControl w:val="0"/>
              <w:numPr>
                <w:ilvl w:val="0"/>
                <w:numId w:val="6"/>
              </w:numPr>
              <w:spacing w:line="240" w:lineRule="auto"/>
            </w:pPr>
            <w:r>
              <w:t>Open access for teachers, with options for download</w:t>
            </w:r>
          </w:p>
          <w:p w14:paraId="784AED5E" w14:textId="77777777" w:rsidR="00C4033A" w:rsidRDefault="001A04DB">
            <w:pPr>
              <w:widowControl w:val="0"/>
              <w:numPr>
                <w:ilvl w:val="0"/>
                <w:numId w:val="6"/>
              </w:numPr>
              <w:spacing w:line="240" w:lineRule="auto"/>
            </w:pPr>
            <w:r>
              <w:t>Includes scoring rubrics with annotated exemplar responses</w:t>
            </w:r>
          </w:p>
        </w:tc>
      </w:tr>
    </w:tbl>
    <w:p w14:paraId="0F0E0C83" w14:textId="77777777" w:rsidR="00C4033A" w:rsidRDefault="00C4033A"/>
    <w:p w14:paraId="2902C3A6" w14:textId="157A77F6" w:rsidR="00C4033A" w:rsidRDefault="001A04DB">
      <w:r>
        <w:t xml:space="preserve">This table is </w:t>
      </w:r>
      <w:r w:rsidR="00F61B4B">
        <w:t xml:space="preserve">just </w:t>
      </w:r>
      <w:r>
        <w:t xml:space="preserve">one example. There may be non-summative components a state wants to include in its RFP that are not </w:t>
      </w:r>
      <w:r w:rsidR="004851E8">
        <w:t>listed,</w:t>
      </w:r>
      <w:r>
        <w:t xml:space="preserve"> or some</w:t>
      </w:r>
      <w:r w:rsidR="00F61B4B">
        <w:t xml:space="preserve"> listed that are</w:t>
      </w:r>
      <w:r>
        <w:t xml:space="preserve"> not </w:t>
      </w:r>
      <w:r w:rsidR="004E5605">
        <w:t>desired</w:t>
      </w:r>
      <w:r>
        <w:t xml:space="preserve">. </w:t>
      </w:r>
      <w:r w:rsidR="004E5605">
        <w:t>S</w:t>
      </w:r>
      <w:r>
        <w:t>tates should adapt this table to suit their needs.</w:t>
      </w:r>
    </w:p>
    <w:p w14:paraId="6A188AC6" w14:textId="77777777" w:rsidR="00C4033A" w:rsidRDefault="00C4033A"/>
    <w:p w14:paraId="4A90B51B" w14:textId="250F101E" w:rsidR="00C4033A" w:rsidRDefault="001A04DB">
      <w:r>
        <w:t xml:space="preserve">Even with modification, this kind of simple summary table is not going to provide </w:t>
      </w:r>
      <w:r w:rsidR="00373A09">
        <w:t>all</w:t>
      </w:r>
      <w:r>
        <w:t xml:space="preserve"> the information a vendor would need to provide a comprehensive response.</w:t>
      </w:r>
      <w:r w:rsidR="002E60BA">
        <w:t xml:space="preserve"> </w:t>
      </w:r>
      <w:r>
        <w:t xml:space="preserve">Therefore, the RFP should have a section or chapter devoted to </w:t>
      </w:r>
      <w:r>
        <w:rPr>
          <w:b/>
        </w:rPr>
        <w:t>each</w:t>
      </w:r>
      <w:r>
        <w:t xml:space="preserve"> component. </w:t>
      </w:r>
      <w:r w:rsidR="004E5605">
        <w:t>The</w:t>
      </w:r>
      <w:r>
        <w:t xml:space="preserve"> sections for each </w:t>
      </w:r>
      <w:r w:rsidR="004E5605">
        <w:t xml:space="preserve">non-summative </w:t>
      </w:r>
      <w:r>
        <w:t xml:space="preserve">component </w:t>
      </w:r>
      <w:r w:rsidR="004E5605">
        <w:t xml:space="preserve">should </w:t>
      </w:r>
      <w:r>
        <w:t>have levels of detail</w:t>
      </w:r>
      <w:r w:rsidR="00B909C5">
        <w:t xml:space="preserve"> similar to</w:t>
      </w:r>
      <w:r>
        <w:t xml:space="preserve"> the summative. </w:t>
      </w:r>
    </w:p>
    <w:p w14:paraId="5F355816" w14:textId="77777777" w:rsidR="00C4033A" w:rsidRDefault="00C4033A"/>
    <w:p w14:paraId="1C812E8B" w14:textId="2E8AE12C" w:rsidR="00C4033A" w:rsidRDefault="001A04DB">
      <w:pPr>
        <w:rPr>
          <w:b/>
        </w:rPr>
      </w:pPr>
      <w:r>
        <w:rPr>
          <w:b/>
        </w:rPr>
        <w:t xml:space="preserve">Component Sections: The </w:t>
      </w:r>
      <w:r w:rsidR="004E5605">
        <w:rPr>
          <w:b/>
        </w:rPr>
        <w:t>Turn-</w:t>
      </w:r>
      <w:r>
        <w:rPr>
          <w:b/>
        </w:rPr>
        <w:t>by</w:t>
      </w:r>
      <w:r w:rsidR="004E5605">
        <w:rPr>
          <w:b/>
        </w:rPr>
        <w:t>-</w:t>
      </w:r>
      <w:r>
        <w:rPr>
          <w:b/>
        </w:rPr>
        <w:t>Turn Directions</w:t>
      </w:r>
    </w:p>
    <w:p w14:paraId="22E34937" w14:textId="77777777" w:rsidR="00C4033A" w:rsidRDefault="00C4033A">
      <w:pPr>
        <w:rPr>
          <w:b/>
        </w:rPr>
      </w:pPr>
    </w:p>
    <w:p w14:paraId="59173879" w14:textId="26D13E62" w:rsidR="00F61B4B" w:rsidRDefault="004E5605">
      <w:pPr>
        <w:widowControl w:val="0"/>
      </w:pPr>
      <w:r>
        <w:t xml:space="preserve">The technical requirements for </w:t>
      </w:r>
      <w:r w:rsidR="001A04DB">
        <w:t xml:space="preserve">RFPs are often structured in three big chunks: (1) </w:t>
      </w:r>
      <w:r w:rsidR="00F61B4B">
        <w:t>the first</w:t>
      </w:r>
      <w:r w:rsidR="00511C66">
        <w:t xml:space="preserve"> </w:t>
      </w:r>
      <w:r w:rsidR="001A04DB">
        <w:t xml:space="preserve">provides details of </w:t>
      </w:r>
      <w:r w:rsidR="00F61B4B">
        <w:t xml:space="preserve">the </w:t>
      </w:r>
      <w:r w:rsidR="001A04DB">
        <w:t>procurement process, background on the state</w:t>
      </w:r>
      <w:r w:rsidR="00F61B4B">
        <w:t>,</w:t>
      </w:r>
      <w:r w:rsidR="001A04DB">
        <w:t xml:space="preserve"> the state assessment programs and contract details,</w:t>
      </w:r>
      <w:r w:rsidR="00F61B4B">
        <w:t xml:space="preserve"> and</w:t>
      </w:r>
      <w:r w:rsidR="001A04DB">
        <w:t xml:space="preserve"> the requirements for the new summative assessment program and major milestones</w:t>
      </w:r>
      <w:r w:rsidR="00B909C5">
        <w:t>;</w:t>
      </w:r>
      <w:r w:rsidR="001A04DB">
        <w:t xml:space="preserve"> (2)</w:t>
      </w:r>
      <w:r w:rsidR="00F61B4B">
        <w:t xml:space="preserve"> the second</w:t>
      </w:r>
      <w:r w:rsidR="003B4118">
        <w:t xml:space="preserve"> is</w:t>
      </w:r>
      <w:r w:rsidR="00F61B4B">
        <w:t xml:space="preserve"> </w:t>
      </w:r>
      <w:r w:rsidR="001A04DB">
        <w:t xml:space="preserve">devoted to a deep and comprehensive dive into the new summative assessment, and (3) </w:t>
      </w:r>
      <w:r w:rsidR="00F61B4B">
        <w:t>the</w:t>
      </w:r>
      <w:r w:rsidR="001A04DB">
        <w:t xml:space="preserve"> </w:t>
      </w:r>
      <w:r w:rsidR="00F61B4B">
        <w:t>third</w:t>
      </w:r>
      <w:r w:rsidR="003B4118">
        <w:t xml:space="preserve"> describes</w:t>
      </w:r>
      <w:r>
        <w:t xml:space="preserve"> the </w:t>
      </w:r>
      <w:r w:rsidR="001A04DB">
        <w:t xml:space="preserve">management of risk, change requests and terms and conditions. </w:t>
      </w:r>
    </w:p>
    <w:p w14:paraId="30F1815D" w14:textId="77777777" w:rsidR="00F61B4B" w:rsidRDefault="00F61B4B">
      <w:pPr>
        <w:widowControl w:val="0"/>
      </w:pPr>
    </w:p>
    <w:p w14:paraId="05BB095B" w14:textId="462A048C" w:rsidR="0017799E" w:rsidRDefault="001A04DB">
      <w:pPr>
        <w:widowControl w:val="0"/>
      </w:pPr>
      <w:r>
        <w:t xml:space="preserve">We suggest that the </w:t>
      </w:r>
      <w:r w:rsidR="00F61B4B">
        <w:t xml:space="preserve">second </w:t>
      </w:r>
      <w:r w:rsidR="004E5605">
        <w:t>section</w:t>
      </w:r>
      <w:r w:rsidR="00F61B4B">
        <w:t>,</w:t>
      </w:r>
      <w:r w:rsidR="004E5605">
        <w:t xml:space="preserve"> </w:t>
      </w:r>
      <w:r>
        <w:t xml:space="preserve">a deep dive </w:t>
      </w:r>
      <w:r w:rsidR="00F61B4B">
        <w:t>into</w:t>
      </w:r>
      <w:r>
        <w:t xml:space="preserve"> the summative program</w:t>
      </w:r>
      <w:r w:rsidR="00F61B4B">
        <w:t>, include</w:t>
      </w:r>
      <w:r>
        <w:t xml:space="preserve"> equally detailed chunks </w:t>
      </w:r>
      <w:r>
        <w:lastRenderedPageBreak/>
        <w:t xml:space="preserve">on each </w:t>
      </w:r>
      <w:r w:rsidR="00B25034">
        <w:t xml:space="preserve">additional </w:t>
      </w:r>
      <w:r>
        <w:t>required component.</w:t>
      </w:r>
      <w:r w:rsidR="0017799E">
        <w:rPr>
          <w:rStyle w:val="FootnoteReference"/>
        </w:rPr>
        <w:footnoteReference w:id="1"/>
      </w:r>
      <w:r w:rsidR="00B909C5">
        <w:t xml:space="preserve"> T</w:t>
      </w:r>
      <w:r>
        <w:t>hese component sections should be organized as similarly as possible (e.g., having the same or similar sub</w:t>
      </w:r>
      <w:r w:rsidR="00B909C5">
        <w:t>-</w:t>
      </w:r>
      <w:r>
        <w:t xml:space="preserve">headers) while also providing detail unique to each section (e.g., the delivery of professional learning materials will have a number of unique aspects not relevant to, say, the delivery of the summative assessment, and vice versa). Essentially, each component invites a potential bidder to develop statements of work for each proposed component. </w:t>
      </w:r>
    </w:p>
    <w:p w14:paraId="29B93BB3" w14:textId="77777777" w:rsidR="0017799E" w:rsidRDefault="0017799E">
      <w:pPr>
        <w:widowControl w:val="0"/>
      </w:pPr>
    </w:p>
    <w:p w14:paraId="3BF9F7E1" w14:textId="6AAB9646" w:rsidR="00C4033A" w:rsidRDefault="001A04DB" w:rsidP="005674E4">
      <w:pPr>
        <w:widowControl w:val="0"/>
      </w:pPr>
      <w:r>
        <w:t xml:space="preserve">In doing so, each component section should address </w:t>
      </w:r>
      <w:r w:rsidR="0069008C">
        <w:t>several</w:t>
      </w:r>
      <w:r>
        <w:t xml:space="preserve"> key points. An outline of a component section might be: </w:t>
      </w:r>
    </w:p>
    <w:p w14:paraId="7FA74754" w14:textId="77777777" w:rsidR="00C4033A" w:rsidRDefault="00C4033A">
      <w:pPr>
        <w:widowControl w:val="0"/>
        <w:spacing w:line="240" w:lineRule="auto"/>
      </w:pPr>
    </w:p>
    <w:p w14:paraId="4F68647D" w14:textId="77777777" w:rsidR="00C4033A" w:rsidRDefault="001A04DB">
      <w:pPr>
        <w:numPr>
          <w:ilvl w:val="0"/>
          <w:numId w:val="3"/>
        </w:numPr>
      </w:pPr>
      <w:r>
        <w:t xml:space="preserve">Component Context </w:t>
      </w:r>
    </w:p>
    <w:p w14:paraId="72E3FCBA" w14:textId="77777777" w:rsidR="00C4033A" w:rsidRDefault="001A04DB">
      <w:pPr>
        <w:numPr>
          <w:ilvl w:val="1"/>
          <w:numId w:val="3"/>
        </w:numPr>
      </w:pPr>
      <w:r>
        <w:t xml:space="preserve">Short History of the Component, Including Work to Date on the Component </w:t>
      </w:r>
    </w:p>
    <w:p w14:paraId="2F636C4C" w14:textId="77777777" w:rsidR="00C4033A" w:rsidRDefault="001A04DB">
      <w:pPr>
        <w:numPr>
          <w:ilvl w:val="1"/>
          <w:numId w:val="3"/>
        </w:numPr>
      </w:pPr>
      <w:r>
        <w:t>Explanation of Why is It Being Introduced, Whether and How it Relates to Other Components</w:t>
      </w:r>
    </w:p>
    <w:p w14:paraId="143E7BD9" w14:textId="77777777" w:rsidR="00C4033A" w:rsidRDefault="001A04DB">
      <w:pPr>
        <w:numPr>
          <w:ilvl w:val="1"/>
          <w:numId w:val="3"/>
        </w:numPr>
      </w:pPr>
      <w:r>
        <w:t>Elaboration of High Priority Design Features and Associated Rationale</w:t>
      </w:r>
    </w:p>
    <w:p w14:paraId="3C21FE50" w14:textId="77777777" w:rsidR="00C4033A" w:rsidRDefault="001A04DB">
      <w:pPr>
        <w:numPr>
          <w:ilvl w:val="0"/>
          <w:numId w:val="3"/>
        </w:numPr>
      </w:pPr>
      <w:r>
        <w:t xml:space="preserve">Component Design </w:t>
      </w:r>
    </w:p>
    <w:p w14:paraId="7F260BAA" w14:textId="77777777" w:rsidR="00C4033A" w:rsidRDefault="001A04DB">
      <w:pPr>
        <w:numPr>
          <w:ilvl w:val="1"/>
          <w:numId w:val="3"/>
        </w:numPr>
      </w:pPr>
      <w:r>
        <w:t>Program &amp; Project Management</w:t>
      </w:r>
    </w:p>
    <w:p w14:paraId="719A7955" w14:textId="77777777" w:rsidR="00C4033A" w:rsidRDefault="001A04DB">
      <w:pPr>
        <w:numPr>
          <w:ilvl w:val="1"/>
          <w:numId w:val="3"/>
        </w:numPr>
      </w:pPr>
      <w:r>
        <w:t>Content Frameworks/Content Standards</w:t>
      </w:r>
    </w:p>
    <w:p w14:paraId="4E2DA664" w14:textId="77777777" w:rsidR="00C4033A" w:rsidRDefault="001A04DB">
      <w:pPr>
        <w:numPr>
          <w:ilvl w:val="1"/>
          <w:numId w:val="3"/>
        </w:numPr>
      </w:pPr>
      <w:r>
        <w:t>Item &amp; Test Development</w:t>
      </w:r>
    </w:p>
    <w:p w14:paraId="4855358D" w14:textId="77777777" w:rsidR="00C4033A" w:rsidRDefault="001A04DB">
      <w:pPr>
        <w:numPr>
          <w:ilvl w:val="1"/>
          <w:numId w:val="3"/>
        </w:numPr>
      </w:pPr>
      <w:r>
        <w:t>Test Administration</w:t>
      </w:r>
    </w:p>
    <w:p w14:paraId="07F4394B" w14:textId="77777777" w:rsidR="00C4033A" w:rsidRDefault="001A04DB">
      <w:pPr>
        <w:numPr>
          <w:ilvl w:val="1"/>
          <w:numId w:val="3"/>
        </w:numPr>
      </w:pPr>
      <w:r>
        <w:t>Item Scoring</w:t>
      </w:r>
    </w:p>
    <w:p w14:paraId="3F46A845" w14:textId="77777777" w:rsidR="00C4033A" w:rsidRDefault="001A04DB">
      <w:pPr>
        <w:numPr>
          <w:ilvl w:val="1"/>
          <w:numId w:val="3"/>
        </w:numPr>
      </w:pPr>
      <w:r>
        <w:t xml:space="preserve">Psychometrics  </w:t>
      </w:r>
    </w:p>
    <w:p w14:paraId="14B2377C" w14:textId="77777777" w:rsidR="00C4033A" w:rsidRDefault="001A04DB">
      <w:pPr>
        <w:numPr>
          <w:ilvl w:val="1"/>
          <w:numId w:val="3"/>
        </w:numPr>
      </w:pPr>
      <w:r>
        <w:t>Standard Setting</w:t>
      </w:r>
    </w:p>
    <w:p w14:paraId="1407506A" w14:textId="77777777" w:rsidR="00C4033A" w:rsidRDefault="001A04DB">
      <w:pPr>
        <w:numPr>
          <w:ilvl w:val="1"/>
          <w:numId w:val="3"/>
        </w:numPr>
      </w:pPr>
      <w:r>
        <w:t>Reporting</w:t>
      </w:r>
    </w:p>
    <w:p w14:paraId="77A4A71B" w14:textId="77777777" w:rsidR="00C4033A" w:rsidRDefault="001A04DB">
      <w:pPr>
        <w:numPr>
          <w:ilvl w:val="1"/>
          <w:numId w:val="3"/>
        </w:numPr>
      </w:pPr>
      <w:r>
        <w:t>Security</w:t>
      </w:r>
    </w:p>
    <w:p w14:paraId="02ABA448" w14:textId="77777777" w:rsidR="00C4033A" w:rsidRDefault="001A04DB">
      <w:pPr>
        <w:numPr>
          <w:ilvl w:val="1"/>
          <w:numId w:val="3"/>
        </w:numPr>
      </w:pPr>
      <w:r>
        <w:t>Communications</w:t>
      </w:r>
    </w:p>
    <w:p w14:paraId="0DCA202C" w14:textId="77777777" w:rsidR="00C4033A" w:rsidRDefault="001A04DB">
      <w:pPr>
        <w:numPr>
          <w:ilvl w:val="1"/>
          <w:numId w:val="3"/>
        </w:numPr>
        <w:spacing w:after="240"/>
      </w:pPr>
      <w:r>
        <w:t>Independent Evaluation and Replication</w:t>
      </w:r>
    </w:p>
    <w:p w14:paraId="1E40EC70" w14:textId="7C44A349" w:rsidR="00C4033A" w:rsidRDefault="004E5605">
      <w:r>
        <w:t xml:space="preserve">This </w:t>
      </w:r>
      <w:r w:rsidR="001A04DB">
        <w:t>outline should be adapted to fit the nature of the component being defined. For example, 2.d</w:t>
      </w:r>
      <w:r w:rsidR="006E709E">
        <w:t>,</w:t>
      </w:r>
      <w:r w:rsidR="001A04DB">
        <w:t xml:space="preserve"> Test Administration, </w:t>
      </w:r>
      <w:r w:rsidR="00B25034">
        <w:t>would</w:t>
      </w:r>
      <w:r w:rsidR="001A04DB">
        <w:t xml:space="preserve"> </w:t>
      </w:r>
      <w:r w:rsidR="006E709E">
        <w:t>say</w:t>
      </w:r>
      <w:r w:rsidR="001A04DB">
        <w:t xml:space="preserve"> something like</w:t>
      </w:r>
      <w:r w:rsidR="00B909C5">
        <w:t>,</w:t>
      </w:r>
      <w:r w:rsidR="001A04DB">
        <w:t xml:space="preserve"> </w:t>
      </w:r>
      <w:r w:rsidR="006E709E">
        <w:t>“</w:t>
      </w:r>
      <w:r w:rsidR="001A04DB">
        <w:t>2.d - Delivery of Professional Learning Materials for an Assessment Literacy Professional Development component.</w:t>
      </w:r>
      <w:r w:rsidR="006E709E">
        <w:t>”</w:t>
      </w:r>
      <w:r w:rsidR="001A04DB">
        <w:t xml:space="preserve"> </w:t>
      </w:r>
      <w:r w:rsidR="00B909C5">
        <w:t>T</w:t>
      </w:r>
      <w:r w:rsidR="001A04DB">
        <w:t>he list above is a summary</w:t>
      </w:r>
      <w:r w:rsidR="006E709E">
        <w:t>;</w:t>
      </w:r>
      <w:r w:rsidR="001A04DB">
        <w:t xml:space="preserve"> much more detail is found in Chapter III of the</w:t>
      </w:r>
      <w:r w:rsidR="004851E8">
        <w:t xml:space="preserve"> RFP Outline in the</w:t>
      </w:r>
      <w:r w:rsidR="001A04DB">
        <w:t xml:space="preserve"> </w:t>
      </w:r>
      <w:hyperlink r:id="rId19">
        <w:r w:rsidR="001A04DB">
          <w:rPr>
            <w:color w:val="1155CC"/>
            <w:u w:val="single"/>
          </w:rPr>
          <w:t>RFP Toolkit</w:t>
        </w:r>
      </w:hyperlink>
      <w:r w:rsidR="001A04DB">
        <w:t xml:space="preserve">. </w:t>
      </w:r>
      <w:r w:rsidR="00B909C5">
        <w:t>P</w:t>
      </w:r>
      <w:r w:rsidR="001A04DB">
        <w:t xml:space="preserve">arts could be added, or some removed. In addition, some parts, like program management, could be covered across components in an omnibus section within, for example, the first </w:t>
      </w:r>
      <w:r>
        <w:t>section</w:t>
      </w:r>
      <w:r w:rsidR="001A04DB">
        <w:t xml:space="preserve">. Key in developing multiple component sections is maintaining parallel structure as much as possible across the multiple components to help bidders navigate the RFP. Doing so provides clear </w:t>
      </w:r>
      <w:r>
        <w:t>turn-by-</w:t>
      </w:r>
      <w:r w:rsidR="001A04DB">
        <w:t xml:space="preserve">turn directions to bidders, helping them map out each component. </w:t>
      </w:r>
    </w:p>
    <w:p w14:paraId="1CB36366" w14:textId="77777777" w:rsidR="00C4033A" w:rsidRDefault="00C4033A">
      <w:pPr>
        <w:rPr>
          <w:b/>
        </w:rPr>
      </w:pPr>
    </w:p>
    <w:p w14:paraId="28F913FA" w14:textId="77777777" w:rsidR="00C4033A" w:rsidRDefault="001A04DB">
      <w:pPr>
        <w:rPr>
          <w:b/>
        </w:rPr>
      </w:pPr>
      <w:r>
        <w:rPr>
          <w:b/>
        </w:rPr>
        <w:t>Considerations and Next Steps: Getting There</w:t>
      </w:r>
    </w:p>
    <w:p w14:paraId="76802214" w14:textId="77777777" w:rsidR="00C4033A" w:rsidRDefault="00C4033A"/>
    <w:p w14:paraId="2CA84550" w14:textId="47566DDD" w:rsidR="00C4033A" w:rsidRDefault="00E00DC8">
      <w:r>
        <w:t>All</w:t>
      </w:r>
      <w:r w:rsidR="001A04DB">
        <w:t xml:space="preserve"> these steps are in service </w:t>
      </w:r>
      <w:r w:rsidR="006E709E">
        <w:t>of</w:t>
      </w:r>
      <w:r w:rsidR="001A04DB">
        <w:t xml:space="preserve"> providing as much detail to a vendor to respond to </w:t>
      </w:r>
      <w:r w:rsidR="004851E8">
        <w:t>a request for proposal (RFP)</w:t>
      </w:r>
      <w:r w:rsidR="001A04DB">
        <w:t xml:space="preserve">, but also </w:t>
      </w:r>
      <w:r w:rsidR="006E709E">
        <w:t>of</w:t>
      </w:r>
      <w:r w:rsidR="001A04DB">
        <w:t xml:space="preserve"> encourag</w:t>
      </w:r>
      <w:r w:rsidR="006E709E">
        <w:t>ing</w:t>
      </w:r>
      <w:r w:rsidR="001A04DB">
        <w:t xml:space="preserve"> states to take the time to think deeply about how their system can and should work. This kind </w:t>
      </w:r>
      <w:r w:rsidR="004851E8">
        <w:t xml:space="preserve">of </w:t>
      </w:r>
      <w:r w:rsidR="001A04DB">
        <w:t>deep thought necessarily involves collaboration</w:t>
      </w:r>
      <w:r w:rsidR="006E709E">
        <w:t>,</w:t>
      </w:r>
      <w:r w:rsidR="001A04DB">
        <w:t xml:space="preserve"> both within </w:t>
      </w:r>
      <w:r w:rsidR="008D5215">
        <w:t xml:space="preserve">state </w:t>
      </w:r>
      <w:r w:rsidR="001A04DB">
        <w:t>departments</w:t>
      </w:r>
      <w:r w:rsidR="008D5215">
        <w:t xml:space="preserve"> of education and</w:t>
      </w:r>
      <w:r w:rsidR="001A04DB">
        <w:t xml:space="preserve"> with local</w:t>
      </w:r>
      <w:r w:rsidR="008D5215">
        <w:t xml:space="preserve"> education </w:t>
      </w:r>
      <w:r w:rsidR="00400811">
        <w:t>constituents</w:t>
      </w:r>
      <w:r w:rsidR="001A04DB">
        <w:t xml:space="preserve">. </w:t>
      </w:r>
    </w:p>
    <w:p w14:paraId="2CE73BC3" w14:textId="77777777" w:rsidR="00A716F9" w:rsidRDefault="00A716F9"/>
    <w:p w14:paraId="0A3CAEF3" w14:textId="36966F6D" w:rsidR="00BA4F1D" w:rsidRDefault="00BA4F1D"/>
    <w:p w14:paraId="0C5AF3D1" w14:textId="77777777" w:rsidR="00C4033A" w:rsidRDefault="00C4033A"/>
    <w:sectPr w:rsidR="00C4033A">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6DFCF" w14:textId="77777777" w:rsidR="00187C20" w:rsidRDefault="00187C20" w:rsidP="0017799E">
      <w:pPr>
        <w:spacing w:line="240" w:lineRule="auto"/>
      </w:pPr>
      <w:r>
        <w:separator/>
      </w:r>
    </w:p>
  </w:endnote>
  <w:endnote w:type="continuationSeparator" w:id="0">
    <w:p w14:paraId="1E8D872F" w14:textId="77777777" w:rsidR="00187C20" w:rsidRDefault="00187C20" w:rsidP="00177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B464" w14:textId="77777777" w:rsidR="00187C20" w:rsidRDefault="00187C20" w:rsidP="0017799E">
      <w:pPr>
        <w:spacing w:line="240" w:lineRule="auto"/>
      </w:pPr>
      <w:r>
        <w:separator/>
      </w:r>
    </w:p>
  </w:footnote>
  <w:footnote w:type="continuationSeparator" w:id="0">
    <w:p w14:paraId="6C3363C6" w14:textId="77777777" w:rsidR="00187C20" w:rsidRDefault="00187C20" w:rsidP="0017799E">
      <w:pPr>
        <w:spacing w:line="240" w:lineRule="auto"/>
      </w:pPr>
      <w:r>
        <w:continuationSeparator/>
      </w:r>
    </w:p>
  </w:footnote>
  <w:footnote w:id="1">
    <w:p w14:paraId="2439B56D" w14:textId="1B44120D" w:rsidR="0017799E" w:rsidRPr="00400811" w:rsidRDefault="0017799E">
      <w:pPr>
        <w:pStyle w:val="FootnoteText"/>
        <w:rPr>
          <w:lang w:val="en-US"/>
        </w:rPr>
      </w:pPr>
      <w:r>
        <w:rPr>
          <w:rStyle w:val="FootnoteReference"/>
        </w:rPr>
        <w:footnoteRef/>
      </w:r>
      <w:r>
        <w:t xml:space="preserve"> </w:t>
      </w:r>
      <w:r w:rsidR="00F61B4B">
        <w:rPr>
          <w:lang w:val="en-US"/>
        </w:rPr>
        <w:t>C</w:t>
      </w:r>
      <w:r>
        <w:rPr>
          <w:lang w:val="en-US"/>
        </w:rPr>
        <w:t>hunks 1 and 3</w:t>
      </w:r>
      <w:r w:rsidR="00F61B4B">
        <w:rPr>
          <w:lang w:val="en-US"/>
        </w:rPr>
        <w:t xml:space="preserve"> are equally important, but we do not address them</w:t>
      </w:r>
      <w:r>
        <w:rPr>
          <w:lang w:val="en-US"/>
        </w:rPr>
        <w:t xml:space="preserve"> in this </w:t>
      </w:r>
      <w:r w:rsidR="003C754F">
        <w:rPr>
          <w:lang w:val="en-US"/>
        </w:rPr>
        <w:t>document</w:t>
      </w:r>
      <w:r w:rsidR="00862B94">
        <w:rPr>
          <w:lang w:val="en-US"/>
        </w:rPr>
        <w:t>. D</w:t>
      </w:r>
      <w:r w:rsidR="00177274">
        <w:rPr>
          <w:lang w:val="en-US"/>
        </w:rPr>
        <w:t xml:space="preserve">etailed guidance about the information needed to support these sections is included in the </w:t>
      </w:r>
      <w:r w:rsidR="00DD73CB">
        <w:rPr>
          <w:lang w:val="en-US"/>
        </w:rPr>
        <w:t xml:space="preserve">RFP Outline </w:t>
      </w:r>
      <w:r w:rsidR="00F61B4B">
        <w:rPr>
          <w:lang w:val="en-US"/>
        </w:rPr>
        <w:t>piece of</w:t>
      </w:r>
      <w:r w:rsidR="00DD73CB">
        <w:rPr>
          <w:lang w:val="en-US"/>
        </w:rPr>
        <w:t xml:space="preserve"> the </w:t>
      </w:r>
      <w:r w:rsidR="00862B94">
        <w:rPr>
          <w:lang w:val="en-US"/>
        </w:rPr>
        <w:t>RFP Toolkit.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72D29"/>
    <w:multiLevelType w:val="multilevel"/>
    <w:tmpl w:val="5D2A7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E76EFC"/>
    <w:multiLevelType w:val="multilevel"/>
    <w:tmpl w:val="1FC42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7C69C9"/>
    <w:multiLevelType w:val="multilevel"/>
    <w:tmpl w:val="26225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460646"/>
    <w:multiLevelType w:val="multilevel"/>
    <w:tmpl w:val="B4D6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80E00"/>
    <w:multiLevelType w:val="multilevel"/>
    <w:tmpl w:val="AD144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D7FCC"/>
    <w:multiLevelType w:val="multilevel"/>
    <w:tmpl w:val="2378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8729051">
    <w:abstractNumId w:val="5"/>
  </w:num>
  <w:num w:numId="2" w16cid:durableId="65231736">
    <w:abstractNumId w:val="3"/>
  </w:num>
  <w:num w:numId="3" w16cid:durableId="199367096">
    <w:abstractNumId w:val="0"/>
  </w:num>
  <w:num w:numId="4" w16cid:durableId="543253495">
    <w:abstractNumId w:val="2"/>
  </w:num>
  <w:num w:numId="5" w16cid:durableId="1207182735">
    <w:abstractNumId w:val="4"/>
  </w:num>
  <w:num w:numId="6" w16cid:durableId="105428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3A"/>
    <w:rsid w:val="000151F7"/>
    <w:rsid w:val="000320DF"/>
    <w:rsid w:val="00032609"/>
    <w:rsid w:val="00043515"/>
    <w:rsid w:val="0004502D"/>
    <w:rsid w:val="00056F06"/>
    <w:rsid w:val="00057B12"/>
    <w:rsid w:val="00064BD3"/>
    <w:rsid w:val="000661A2"/>
    <w:rsid w:val="00095368"/>
    <w:rsid w:val="000C0459"/>
    <w:rsid w:val="000E6AC7"/>
    <w:rsid w:val="0013471A"/>
    <w:rsid w:val="001360E9"/>
    <w:rsid w:val="00143058"/>
    <w:rsid w:val="00150C31"/>
    <w:rsid w:val="00166728"/>
    <w:rsid w:val="00177274"/>
    <w:rsid w:val="0017799E"/>
    <w:rsid w:val="00187C20"/>
    <w:rsid w:val="001A04DB"/>
    <w:rsid w:val="001A103C"/>
    <w:rsid w:val="001A6785"/>
    <w:rsid w:val="001B7651"/>
    <w:rsid w:val="001C70DE"/>
    <w:rsid w:val="001D79F9"/>
    <w:rsid w:val="001E0FE2"/>
    <w:rsid w:val="001E73B0"/>
    <w:rsid w:val="00224F1A"/>
    <w:rsid w:val="00227C20"/>
    <w:rsid w:val="00245657"/>
    <w:rsid w:val="00257AB6"/>
    <w:rsid w:val="00282179"/>
    <w:rsid w:val="00293F55"/>
    <w:rsid w:val="002B18F8"/>
    <w:rsid w:val="002C610E"/>
    <w:rsid w:val="002D1CAC"/>
    <w:rsid w:val="002E60BA"/>
    <w:rsid w:val="00343987"/>
    <w:rsid w:val="003723B7"/>
    <w:rsid w:val="00373A09"/>
    <w:rsid w:val="003872FD"/>
    <w:rsid w:val="003B260C"/>
    <w:rsid w:val="003B4118"/>
    <w:rsid w:val="003B55AB"/>
    <w:rsid w:val="003C027E"/>
    <w:rsid w:val="003C31C5"/>
    <w:rsid w:val="003C754F"/>
    <w:rsid w:val="003D49D2"/>
    <w:rsid w:val="00400811"/>
    <w:rsid w:val="00404CDA"/>
    <w:rsid w:val="00427761"/>
    <w:rsid w:val="00442A18"/>
    <w:rsid w:val="0044481F"/>
    <w:rsid w:val="00445EFE"/>
    <w:rsid w:val="004614B4"/>
    <w:rsid w:val="00461C01"/>
    <w:rsid w:val="00462C93"/>
    <w:rsid w:val="00472640"/>
    <w:rsid w:val="00483C61"/>
    <w:rsid w:val="004851E8"/>
    <w:rsid w:val="004A6035"/>
    <w:rsid w:val="004B2F17"/>
    <w:rsid w:val="004B3FE6"/>
    <w:rsid w:val="004D3E16"/>
    <w:rsid w:val="004E5185"/>
    <w:rsid w:val="004E5605"/>
    <w:rsid w:val="005070AF"/>
    <w:rsid w:val="00511C66"/>
    <w:rsid w:val="0054775D"/>
    <w:rsid w:val="00550579"/>
    <w:rsid w:val="005556B8"/>
    <w:rsid w:val="005674E4"/>
    <w:rsid w:val="0058509A"/>
    <w:rsid w:val="005B3337"/>
    <w:rsid w:val="005B580B"/>
    <w:rsid w:val="005D267A"/>
    <w:rsid w:val="005D59B5"/>
    <w:rsid w:val="005F24EC"/>
    <w:rsid w:val="00641B2A"/>
    <w:rsid w:val="00657AC3"/>
    <w:rsid w:val="00674935"/>
    <w:rsid w:val="0069008C"/>
    <w:rsid w:val="006B2E09"/>
    <w:rsid w:val="006D1EEF"/>
    <w:rsid w:val="006E5395"/>
    <w:rsid w:val="006E709E"/>
    <w:rsid w:val="00741DC9"/>
    <w:rsid w:val="0075152A"/>
    <w:rsid w:val="00760668"/>
    <w:rsid w:val="007606C9"/>
    <w:rsid w:val="007842BE"/>
    <w:rsid w:val="00790144"/>
    <w:rsid w:val="007931C2"/>
    <w:rsid w:val="007D7375"/>
    <w:rsid w:val="00822E86"/>
    <w:rsid w:val="00832CCE"/>
    <w:rsid w:val="0084403F"/>
    <w:rsid w:val="00855133"/>
    <w:rsid w:val="00862B27"/>
    <w:rsid w:val="00862B94"/>
    <w:rsid w:val="008719BA"/>
    <w:rsid w:val="008A5E92"/>
    <w:rsid w:val="008C1035"/>
    <w:rsid w:val="008C21AE"/>
    <w:rsid w:val="008D5215"/>
    <w:rsid w:val="008F42B1"/>
    <w:rsid w:val="00913817"/>
    <w:rsid w:val="00941AB6"/>
    <w:rsid w:val="00943C1C"/>
    <w:rsid w:val="00947191"/>
    <w:rsid w:val="00970B26"/>
    <w:rsid w:val="00971DA2"/>
    <w:rsid w:val="00977C28"/>
    <w:rsid w:val="0098535F"/>
    <w:rsid w:val="009863AA"/>
    <w:rsid w:val="009B1F20"/>
    <w:rsid w:val="009B454D"/>
    <w:rsid w:val="009C3D75"/>
    <w:rsid w:val="009C49A6"/>
    <w:rsid w:val="009C4B94"/>
    <w:rsid w:val="009E3687"/>
    <w:rsid w:val="009E4672"/>
    <w:rsid w:val="00A07B33"/>
    <w:rsid w:val="00A200E0"/>
    <w:rsid w:val="00A234CA"/>
    <w:rsid w:val="00A44F5B"/>
    <w:rsid w:val="00A62623"/>
    <w:rsid w:val="00A716F9"/>
    <w:rsid w:val="00A738D5"/>
    <w:rsid w:val="00A801DE"/>
    <w:rsid w:val="00A94BA9"/>
    <w:rsid w:val="00AB2D94"/>
    <w:rsid w:val="00AB582B"/>
    <w:rsid w:val="00AC21C8"/>
    <w:rsid w:val="00AC2684"/>
    <w:rsid w:val="00AC4CB4"/>
    <w:rsid w:val="00AE09C4"/>
    <w:rsid w:val="00AE5CE7"/>
    <w:rsid w:val="00AE750C"/>
    <w:rsid w:val="00AF4995"/>
    <w:rsid w:val="00B07D16"/>
    <w:rsid w:val="00B25034"/>
    <w:rsid w:val="00B36318"/>
    <w:rsid w:val="00B60406"/>
    <w:rsid w:val="00B628C9"/>
    <w:rsid w:val="00B84F66"/>
    <w:rsid w:val="00B86A58"/>
    <w:rsid w:val="00B909C5"/>
    <w:rsid w:val="00BA4F1D"/>
    <w:rsid w:val="00BD500A"/>
    <w:rsid w:val="00C1710A"/>
    <w:rsid w:val="00C21533"/>
    <w:rsid w:val="00C22705"/>
    <w:rsid w:val="00C4033A"/>
    <w:rsid w:val="00C47A92"/>
    <w:rsid w:val="00C54BA6"/>
    <w:rsid w:val="00C54D16"/>
    <w:rsid w:val="00C83C09"/>
    <w:rsid w:val="00C93C78"/>
    <w:rsid w:val="00CA4942"/>
    <w:rsid w:val="00CB0EEB"/>
    <w:rsid w:val="00CD4A7B"/>
    <w:rsid w:val="00D55E11"/>
    <w:rsid w:val="00DC44AB"/>
    <w:rsid w:val="00DD73CB"/>
    <w:rsid w:val="00DF0770"/>
    <w:rsid w:val="00E00DC8"/>
    <w:rsid w:val="00E40A1C"/>
    <w:rsid w:val="00E42481"/>
    <w:rsid w:val="00E528EC"/>
    <w:rsid w:val="00E70BA0"/>
    <w:rsid w:val="00E72178"/>
    <w:rsid w:val="00EA478D"/>
    <w:rsid w:val="00EA65E7"/>
    <w:rsid w:val="00EB2016"/>
    <w:rsid w:val="00EC5C95"/>
    <w:rsid w:val="00F019D0"/>
    <w:rsid w:val="00F03840"/>
    <w:rsid w:val="00F35C17"/>
    <w:rsid w:val="00F45940"/>
    <w:rsid w:val="00F45C25"/>
    <w:rsid w:val="00F61B4B"/>
    <w:rsid w:val="00F83D33"/>
    <w:rsid w:val="00F94A5B"/>
    <w:rsid w:val="00F96829"/>
    <w:rsid w:val="00FB17ED"/>
    <w:rsid w:val="00FD520A"/>
    <w:rsid w:val="00FF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3A1A9"/>
  <w15:docId w15:val="{215D6C0A-C3BE-4353-B88B-EAE91F18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0668"/>
    <w:rPr>
      <w:b/>
      <w:bCs/>
    </w:rPr>
  </w:style>
  <w:style w:type="character" w:customStyle="1" w:styleId="CommentSubjectChar">
    <w:name w:val="Comment Subject Char"/>
    <w:basedOn w:val="CommentTextChar"/>
    <w:link w:val="CommentSubject"/>
    <w:uiPriority w:val="99"/>
    <w:semiHidden/>
    <w:rsid w:val="00760668"/>
    <w:rPr>
      <w:b/>
      <w:bCs/>
      <w:sz w:val="20"/>
      <w:szCs w:val="20"/>
    </w:rPr>
  </w:style>
  <w:style w:type="paragraph" w:styleId="Revision">
    <w:name w:val="Revision"/>
    <w:hidden/>
    <w:uiPriority w:val="99"/>
    <w:semiHidden/>
    <w:rsid w:val="00760668"/>
    <w:pPr>
      <w:spacing w:line="240" w:lineRule="auto"/>
    </w:pPr>
  </w:style>
  <w:style w:type="character" w:styleId="Hyperlink">
    <w:name w:val="Hyperlink"/>
    <w:basedOn w:val="DefaultParagraphFont"/>
    <w:uiPriority w:val="99"/>
    <w:unhideWhenUsed/>
    <w:rsid w:val="002E60BA"/>
    <w:rPr>
      <w:color w:val="0000FF" w:themeColor="hyperlink"/>
      <w:u w:val="single"/>
    </w:rPr>
  </w:style>
  <w:style w:type="character" w:styleId="UnresolvedMention">
    <w:name w:val="Unresolved Mention"/>
    <w:basedOn w:val="DefaultParagraphFont"/>
    <w:uiPriority w:val="99"/>
    <w:semiHidden/>
    <w:unhideWhenUsed/>
    <w:rsid w:val="002E60BA"/>
    <w:rPr>
      <w:color w:val="605E5C"/>
      <w:shd w:val="clear" w:color="auto" w:fill="E1DFDD"/>
    </w:rPr>
  </w:style>
  <w:style w:type="paragraph" w:styleId="FootnoteText">
    <w:name w:val="footnote text"/>
    <w:basedOn w:val="Normal"/>
    <w:link w:val="FootnoteTextChar"/>
    <w:uiPriority w:val="99"/>
    <w:semiHidden/>
    <w:unhideWhenUsed/>
    <w:rsid w:val="0017799E"/>
    <w:pPr>
      <w:spacing w:line="240" w:lineRule="auto"/>
    </w:pPr>
    <w:rPr>
      <w:sz w:val="20"/>
      <w:szCs w:val="20"/>
    </w:rPr>
  </w:style>
  <w:style w:type="character" w:customStyle="1" w:styleId="FootnoteTextChar">
    <w:name w:val="Footnote Text Char"/>
    <w:basedOn w:val="DefaultParagraphFont"/>
    <w:link w:val="FootnoteText"/>
    <w:uiPriority w:val="99"/>
    <w:semiHidden/>
    <w:rsid w:val="0017799E"/>
    <w:rPr>
      <w:sz w:val="20"/>
      <w:szCs w:val="20"/>
    </w:rPr>
  </w:style>
  <w:style w:type="character" w:styleId="FootnoteReference">
    <w:name w:val="footnote reference"/>
    <w:basedOn w:val="DefaultParagraphFont"/>
    <w:uiPriority w:val="99"/>
    <w:semiHidden/>
    <w:unhideWhenUsed/>
    <w:rsid w:val="00177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iea.org/library/choosing-the-right-tests-the-district-assessment-procurement-protocol-dapp/" TargetMode="External"/><Relationship Id="rId18" Type="http://schemas.openxmlformats.org/officeDocument/2006/relationships/hyperlink" Target="https://sites.google.com/view/assessment101/hom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iea.org/wp-content/uploads/2023/04/Interim-Toolkit_Phase-1_Assessment-Gaps-and-Need_0.pdf" TargetMode="External"/><Relationship Id="rId17" Type="http://schemas.openxmlformats.org/officeDocument/2006/relationships/hyperlink" Target="https://www.nciea.org/library/requests-for-proposals-toolkit/'" TargetMode="External"/><Relationship Id="rId2" Type="http://schemas.openxmlformats.org/officeDocument/2006/relationships/customXml" Target="../customXml/item2.xml"/><Relationship Id="rId16" Type="http://schemas.openxmlformats.org/officeDocument/2006/relationships/hyperlink" Target="https://schools.utah.gov/assessment/_assessment_/AssessmentStrategicPlan_Dec_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iea.org/library/requests-for-proposals-toolkit/" TargetMode="External"/><Relationship Id="rId5" Type="http://schemas.openxmlformats.org/officeDocument/2006/relationships/numbering" Target="numbering.xml"/><Relationship Id="rId15" Type="http://schemas.openxmlformats.org/officeDocument/2006/relationships/hyperlink" Target="https://webnew.ped.state.nm.us/wp-content/uploads/2019/11/Student_Success_Task_Force_Report_Balanced_Assessment_System_-October_2019.pdf" TargetMode="External"/><Relationship Id="rId10" Type="http://schemas.openxmlformats.org/officeDocument/2006/relationships/endnotes" Target="endnotes.xml"/><Relationship Id="rId19" Type="http://schemas.openxmlformats.org/officeDocument/2006/relationships/hyperlink" Target="https://www.nciea.org/library/requests-for-proposals-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iea.org/library/wyomings-statewide-assessment-system-recommendations-from-the-wyoming-assessment-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824985-16d5-4a3d-8739-13f357fa36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8FA36583C8F458A0172EBC23D9FB3" ma:contentTypeVersion="10" ma:contentTypeDescription="Create a new document." ma:contentTypeScope="" ma:versionID="9d9b8c657fe3f6a8cc608dba09a62e83">
  <xsd:schema xmlns:xsd="http://www.w3.org/2001/XMLSchema" xmlns:xs="http://www.w3.org/2001/XMLSchema" xmlns:p="http://schemas.microsoft.com/office/2006/metadata/properties" xmlns:ns3="dd9f2f6b-e3f1-430c-b438-dc689cc81b03" xmlns:ns4="a2824985-16d5-4a3d-8739-13f357fa36d4" targetNamespace="http://schemas.microsoft.com/office/2006/metadata/properties" ma:root="true" ma:fieldsID="e44d4658ae8548f277bba63312dc0f43" ns3:_="" ns4:_="">
    <xsd:import namespace="dd9f2f6b-e3f1-430c-b438-dc689cc81b03"/>
    <xsd:import namespace="a2824985-16d5-4a3d-8739-13f357fa3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f2f6b-e3f1-430c-b438-dc689cc81b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24985-16d5-4a3d-8739-13f357fa36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8072-2A63-481B-9A81-FADEA3EE3344}">
  <ds:schemaRefs>
    <ds:schemaRef ds:uri="http://schemas.microsoft.com/office/2006/metadata/properties"/>
    <ds:schemaRef ds:uri="http://schemas.microsoft.com/office/infopath/2007/PartnerControls"/>
    <ds:schemaRef ds:uri="a2824985-16d5-4a3d-8739-13f357fa36d4"/>
  </ds:schemaRefs>
</ds:datastoreItem>
</file>

<file path=customXml/itemProps2.xml><?xml version="1.0" encoding="utf-8"?>
<ds:datastoreItem xmlns:ds="http://schemas.openxmlformats.org/officeDocument/2006/customXml" ds:itemID="{4FE462F6-2D49-4B6C-816C-5E14E270D36C}">
  <ds:schemaRefs>
    <ds:schemaRef ds:uri="http://schemas.microsoft.com/sharepoint/v3/contenttype/forms"/>
  </ds:schemaRefs>
</ds:datastoreItem>
</file>

<file path=customXml/itemProps3.xml><?xml version="1.0" encoding="utf-8"?>
<ds:datastoreItem xmlns:ds="http://schemas.openxmlformats.org/officeDocument/2006/customXml" ds:itemID="{58BA51C9-16FC-4E0F-BBFE-7CA5925FC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f2f6b-e3f1-430c-b438-dc689cc81b03"/>
    <ds:schemaRef ds:uri="a2824985-16d5-4a3d-8739-13f357fa3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68227-9051-4FEE-AA4B-4FED5FF3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Catherine Gewertz</cp:lastModifiedBy>
  <cp:revision>6</cp:revision>
  <cp:lastPrinted>2024-02-22T15:39:00Z</cp:lastPrinted>
  <dcterms:created xsi:type="dcterms:W3CDTF">2024-05-21T19:08:00Z</dcterms:created>
  <dcterms:modified xsi:type="dcterms:W3CDTF">2024-05-21T21:42:00Z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3c74577255564d9aa55930c6549e09402178a4bca79df133c4e5376186a237b7</vt:lpwstr>
  </property>
  <property fmtid="{D5CDD505-2E9C-101B-9397-08002B2CF9AE}" pid="3" name="ContentTypeId">
    <vt:lpwstr>0x0101004748FA36583C8F458A0172EBC23D9FB3</vt:lpwstr>
  </property>
</Properties>
</file>